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FE275" w14:textId="77777777" w:rsidR="006641F0" w:rsidRPr="00712C7E" w:rsidRDefault="0023243E">
      <w:pPr>
        <w:pStyle w:val="Title1"/>
        <w:rPr>
          <w:lang w:val="fr-FR"/>
        </w:rPr>
      </w:pPr>
      <w:bookmarkStart w:id="0" w:name="_GoBack"/>
      <w:bookmarkEnd w:id="0"/>
      <w:r w:rsidRPr="00712C7E">
        <w:rPr>
          <w:lang w:val="fr-FR"/>
        </w:rPr>
        <w:t>--IX-- Internet Exchange Point</w:t>
      </w:r>
    </w:p>
    <w:p w14:paraId="477F6CAF" w14:textId="77777777" w:rsidR="006641F0" w:rsidRPr="00712C7E" w:rsidRDefault="0023243E">
      <w:pPr>
        <w:pStyle w:val="Title1"/>
        <w:rPr>
          <w:lang w:val="fr-FR"/>
        </w:rPr>
      </w:pPr>
      <w:r w:rsidRPr="00712C7E">
        <w:rPr>
          <w:lang w:val="fr-FR"/>
        </w:rPr>
        <w:t>Policy Document</w:t>
      </w:r>
    </w:p>
    <w:p w14:paraId="7E7948AB" w14:textId="77777777" w:rsidR="006641F0" w:rsidRPr="00712C7E" w:rsidRDefault="006641F0">
      <w:pPr>
        <w:pStyle w:val="BodyA"/>
        <w:rPr>
          <w:lang w:val="fr-FR"/>
        </w:rPr>
      </w:pPr>
    </w:p>
    <w:p w14:paraId="0DE5B2D3" w14:textId="77777777" w:rsidR="006641F0" w:rsidRDefault="0023243E">
      <w:pPr>
        <w:pStyle w:val="BodyA"/>
      </w:pPr>
      <w:r>
        <w:t>This document is an agreement between the undersigned parties, defining the rights and obligations of participants in the --IX-- Internet Exchange Point (--IX--P).</w:t>
      </w:r>
    </w:p>
    <w:p w14:paraId="4009EEF1" w14:textId="77777777" w:rsidR="006641F0" w:rsidRDefault="006641F0">
      <w:pPr>
        <w:pStyle w:val="BodyA"/>
      </w:pPr>
    </w:p>
    <w:p w14:paraId="5820666C" w14:textId="77777777" w:rsidR="006641F0" w:rsidRDefault="0023243E">
      <w:pPr>
        <w:pStyle w:val="Heading1"/>
      </w:pPr>
      <w:r>
        <w:t>Governance</w:t>
      </w:r>
    </w:p>
    <w:p w14:paraId="6E061306" w14:textId="77777777" w:rsidR="006641F0" w:rsidRDefault="0023243E">
      <w:pPr>
        <w:pStyle w:val="Heading2"/>
      </w:pPr>
      <w:r>
        <w:t>Participation</w:t>
      </w:r>
    </w:p>
    <w:p w14:paraId="7A14CC8E" w14:textId="77777777" w:rsidR="006641F0" w:rsidRDefault="0023243E">
      <w:pPr>
        <w:pStyle w:val="BodyA"/>
      </w:pPr>
      <w:r>
        <w:t>Participants in the exchange are those parties that are both Signatories to this document and connected to the --IX-- at OSI layers 1, 2, and 3. No party may connect to the exchange without first signing this document to indicate acceptance of its terms. P</w:t>
      </w:r>
      <w:r>
        <w:t>arties that have acceded to the terms but are not yet connected to the Exchange shall be referred to as Signatories.</w:t>
      </w:r>
    </w:p>
    <w:p w14:paraId="0AF85BB3" w14:textId="77777777" w:rsidR="006641F0" w:rsidRDefault="006641F0">
      <w:pPr>
        <w:pStyle w:val="BodyA"/>
      </w:pPr>
    </w:p>
    <w:p w14:paraId="74E29C18" w14:textId="77777777" w:rsidR="006641F0" w:rsidRDefault="0023243E">
      <w:pPr>
        <w:pStyle w:val="BodyA"/>
      </w:pPr>
      <w:r>
        <w:t>The right to move from Signatory status to Participant status shall be conferred by judgment and action of the Governing Board, which shal</w:t>
      </w:r>
      <w:r>
        <w:t>l not be withheld arbitrarily nor for anti-competitive reasons. All networks are welcomed to participate regardless of legal form, regulatory or license status, nationality, or business model; technical capability to connect and willingness to abide by the</w:t>
      </w:r>
      <w:r>
        <w:t xml:space="preserve"> terms and spirit of this document are the sole criteria for participation.</w:t>
      </w:r>
    </w:p>
    <w:p w14:paraId="348B3C28" w14:textId="77777777" w:rsidR="006641F0" w:rsidRDefault="006641F0">
      <w:pPr>
        <w:pStyle w:val="BodyA"/>
      </w:pPr>
    </w:p>
    <w:p w14:paraId="5C8F92B0" w14:textId="77777777" w:rsidR="006641F0" w:rsidRDefault="0023243E">
      <w:pPr>
        <w:pStyle w:val="BodyA"/>
      </w:pPr>
      <w:r>
        <w:t>The Governing Board may withdraw the Participant status of a Signatory temporarily for operational reasons having to do with the technical functioning of the exchange, or permanen</w:t>
      </w:r>
      <w:r>
        <w:t>tly for policy reasons of noncompliance with the terms of this document. Defending the collective interest of the Participants in this manner is the principal responsibility of the Governing Board, and all Signatories indemnify and hold harmless the Govern</w:t>
      </w:r>
      <w:r>
        <w:t>ing Board, its individual members, and their employers for any damages consequent to the withdrawal of a Signatory’s Participant status. Functionally, withdrawal of Participant status shall be accomplished by deactivating a participant’s Exchange switch po</w:t>
      </w:r>
      <w:r>
        <w:t xml:space="preserve">rts. </w:t>
      </w:r>
    </w:p>
    <w:p w14:paraId="0AFB40B5" w14:textId="77777777" w:rsidR="006641F0" w:rsidRDefault="006641F0">
      <w:pPr>
        <w:pStyle w:val="BodyA"/>
      </w:pPr>
    </w:p>
    <w:p w14:paraId="63EE2044" w14:textId="77777777" w:rsidR="006641F0" w:rsidRDefault="0023243E">
      <w:pPr>
        <w:pStyle w:val="BodyA"/>
      </w:pPr>
      <w:r>
        <w:t>Any decisions regarding participation made by the Governing Board which are still in effect as of the next Regular Meeting of the Participants shall be ratified or revoked by a majority vote of the Participants at that meeting. All outstanding Gover</w:t>
      </w:r>
      <w:r>
        <w:t xml:space="preserve">ning Board decisions regarding Participant status may be ratified or revoked as a batch in a single vote at the meeting, </w:t>
      </w:r>
      <w:proofErr w:type="gramStart"/>
      <w:r>
        <w:t>provided that</w:t>
      </w:r>
      <w:proofErr w:type="gramEnd"/>
      <w:r>
        <w:t xml:space="preserve"> vote is unanimous. If a Participant’s status has been downgraded to Signatory by action of the Governing Board and that a</w:t>
      </w:r>
      <w:r>
        <w:t xml:space="preserve">ction is ratified by the Participants, the associated signature shall be struck from this document. The signature of any network which has not been a Participant for two consecutive Regular Meetings shall also be struck from this document. </w:t>
      </w:r>
    </w:p>
    <w:p w14:paraId="4158B99A" w14:textId="77777777" w:rsidR="006641F0" w:rsidRDefault="006641F0">
      <w:pPr>
        <w:pStyle w:val="BodyA"/>
      </w:pPr>
    </w:p>
    <w:p w14:paraId="03D52E2D" w14:textId="77777777" w:rsidR="006641F0" w:rsidRDefault="0023243E">
      <w:pPr>
        <w:pStyle w:val="Heading2"/>
      </w:pPr>
      <w:r>
        <w:lastRenderedPageBreak/>
        <w:t>Finances and L</w:t>
      </w:r>
      <w:r>
        <w:t>iability</w:t>
      </w:r>
    </w:p>
    <w:p w14:paraId="24593709" w14:textId="77777777" w:rsidR="006641F0" w:rsidRDefault="0023243E">
      <w:pPr>
        <w:pStyle w:val="BodyA"/>
      </w:pPr>
      <w:r>
        <w:t>The --IX-- shall not handle money. It shall not make or receive payments, nor act as a conduit for payments or indebtedness between other parties. Each Participant shall meet its own costs of participation in full, as shall other parties like faci</w:t>
      </w:r>
      <w:r>
        <w:t>lity operators and the Governing Board and its members. Neither the --IX-- nor its Participants are liable for any loss resulting from the use of the --IX-- by any of its Participants. No non-signatory party shall have any rights under this document.</w:t>
      </w:r>
    </w:p>
    <w:p w14:paraId="0DA12113" w14:textId="77777777" w:rsidR="006641F0" w:rsidRDefault="006641F0">
      <w:pPr>
        <w:pStyle w:val="BodyA"/>
      </w:pPr>
    </w:p>
    <w:p w14:paraId="797E9058" w14:textId="77777777" w:rsidR="006641F0" w:rsidRDefault="0023243E">
      <w:pPr>
        <w:pStyle w:val="Heading2"/>
      </w:pPr>
      <w:r>
        <w:t>Meet</w:t>
      </w:r>
      <w:r>
        <w:t>ings</w:t>
      </w:r>
    </w:p>
    <w:p w14:paraId="077473E3" w14:textId="77777777" w:rsidR="006641F0" w:rsidRDefault="0023243E">
      <w:pPr>
        <w:pStyle w:val="BodyA"/>
      </w:pPr>
      <w:r>
        <w:t>Regular Meetings shall be held quarterly for the first year, semiannually for the second year, and annually in the third and subsequent years. Specifically, the schedule of Regular Meetings is as follows:</w:t>
      </w:r>
    </w:p>
    <w:p w14:paraId="198E7EF1" w14:textId="77777777" w:rsidR="006641F0" w:rsidRDefault="006641F0">
      <w:pPr>
        <w:pStyle w:val="BodyA"/>
      </w:pPr>
    </w:p>
    <w:p w14:paraId="0AA8B53A" w14:textId="77777777" w:rsidR="006641F0" w:rsidRDefault="0023243E">
      <w:pPr>
        <w:pStyle w:val="BodyA"/>
      </w:pPr>
      <w:r>
        <w:tab/>
      </w:r>
      <w:r>
        <w:rPr>
          <w:color w:val="FF2712"/>
          <w:u w:color="FF2712"/>
        </w:rPr>
        <w:t>[This space to be filled in once we know whe</w:t>
      </w:r>
      <w:r>
        <w:rPr>
          <w:color w:val="FF2712"/>
          <w:u w:color="FF2712"/>
        </w:rPr>
        <w:t>n the first meeting will occur.]</w:t>
      </w:r>
    </w:p>
    <w:p w14:paraId="053D251A" w14:textId="77777777" w:rsidR="006641F0" w:rsidRDefault="006641F0">
      <w:pPr>
        <w:pStyle w:val="BodyA"/>
      </w:pPr>
    </w:p>
    <w:p w14:paraId="15C4FE4F" w14:textId="77777777" w:rsidR="006641F0" w:rsidRDefault="0023243E">
      <w:pPr>
        <w:pStyle w:val="BodyA"/>
      </w:pPr>
      <w:r>
        <w:t xml:space="preserve">The Governing Board shall notify the participants by email at least two weeks in advance of any meeting of the Participants. The Governing Board shall provide means for both in-person and remote participation. </w:t>
      </w:r>
    </w:p>
    <w:p w14:paraId="415CE874" w14:textId="77777777" w:rsidR="006641F0" w:rsidRDefault="006641F0">
      <w:pPr>
        <w:pStyle w:val="BodyA"/>
      </w:pPr>
    </w:p>
    <w:p w14:paraId="244E761F" w14:textId="77777777" w:rsidR="006641F0" w:rsidRDefault="0023243E">
      <w:pPr>
        <w:pStyle w:val="BodyA"/>
      </w:pPr>
      <w:r>
        <w:t>The Govern</w:t>
      </w:r>
      <w:r>
        <w:t xml:space="preserve">ing Board shall be responsible for </w:t>
      </w:r>
      <w:proofErr w:type="spellStart"/>
      <w:r>
        <w:t>organising</w:t>
      </w:r>
      <w:proofErr w:type="spellEnd"/>
      <w:r>
        <w:t xml:space="preserve"> the agenda of each Regular Meeting, reporting on any outstanding issues, and presenting any decisions which require ratification by the Participants. Meetings shall include a social period to encourage Particip</w:t>
      </w:r>
      <w:r>
        <w:t xml:space="preserve">ants to meet potential new </w:t>
      </w:r>
      <w:proofErr w:type="gramStart"/>
      <w:r>
        <w:t>peers, and</w:t>
      </w:r>
      <w:proofErr w:type="gramEnd"/>
      <w:r>
        <w:t xml:space="preserve"> may optionally include an educational session as well.</w:t>
      </w:r>
    </w:p>
    <w:p w14:paraId="71163DC7" w14:textId="77777777" w:rsidR="006641F0" w:rsidRDefault="006641F0">
      <w:pPr>
        <w:pStyle w:val="BodyA"/>
      </w:pPr>
    </w:p>
    <w:p w14:paraId="7D4CF62C" w14:textId="77777777" w:rsidR="006641F0" w:rsidRDefault="0023243E">
      <w:pPr>
        <w:pStyle w:val="BodyA"/>
      </w:pPr>
      <w:r>
        <w:t>Following each meeting, draft minutes shall be publicly posted to the --IX-- web site and emailed to the Participants within one week, and the draft minutes shall</w:t>
      </w:r>
      <w:r>
        <w:t xml:space="preserve"> be ratified or corrected by the Participants no later than the next Regular Meeting, whereupon they shall be publicly posted permanently to the --IX-- web site and emailed to the Participants.  </w:t>
      </w:r>
    </w:p>
    <w:p w14:paraId="0C8CF1FF" w14:textId="77777777" w:rsidR="006641F0" w:rsidRDefault="006641F0">
      <w:pPr>
        <w:pStyle w:val="BodyA"/>
      </w:pPr>
    </w:p>
    <w:p w14:paraId="162C686E" w14:textId="77777777" w:rsidR="006641F0" w:rsidRDefault="0023243E">
      <w:pPr>
        <w:pStyle w:val="BodyA"/>
      </w:pPr>
      <w:r>
        <w:t xml:space="preserve">All meetings shall be open to the public, but </w:t>
      </w:r>
      <w:r>
        <w:t xml:space="preserve">governance decisions shall be made by a vote of the Participants, with one vote per controlling entity among the Participants. Specifically, if multiple Participants share a common controlling entity, those Participants shall collectively be entitled to a </w:t>
      </w:r>
      <w:r>
        <w:t>single vote in any governance decision. While non-Participant parties, such as host facility operators, government representatives, and delegates from other IXPs, are welcome to attend meetings, they do not vote in governance decisions.</w:t>
      </w:r>
    </w:p>
    <w:p w14:paraId="40AEFE8E" w14:textId="77777777" w:rsidR="006641F0" w:rsidRDefault="006641F0">
      <w:pPr>
        <w:pStyle w:val="BodyA"/>
      </w:pPr>
    </w:p>
    <w:p w14:paraId="14686914" w14:textId="77777777" w:rsidR="006641F0" w:rsidRDefault="0023243E">
      <w:pPr>
        <w:pStyle w:val="Heading2"/>
      </w:pPr>
      <w:r>
        <w:t>Governing Board</w:t>
      </w:r>
    </w:p>
    <w:p w14:paraId="0493CF6E" w14:textId="77777777" w:rsidR="006641F0" w:rsidRDefault="0023243E">
      <w:pPr>
        <w:pStyle w:val="BodyA"/>
      </w:pPr>
      <w:r>
        <w:t>Th</w:t>
      </w:r>
      <w:r>
        <w:t xml:space="preserve">e Governing Board shall consist of five individuals elected by the Participants to represent the collective interests of </w:t>
      </w:r>
      <w:proofErr w:type="gramStart"/>
      <w:r>
        <w:t>all of</w:t>
      </w:r>
      <w:proofErr w:type="gramEnd"/>
      <w:r>
        <w:t xml:space="preserve"> the </w:t>
      </w:r>
      <w:proofErr w:type="spellStart"/>
      <w:r>
        <w:t>the</w:t>
      </w:r>
      <w:proofErr w:type="spellEnd"/>
      <w:r>
        <w:t xml:space="preserve"> Participants.  The Governing Board may elect to appoint a non-voting member to represent the host facility operators.  T</w:t>
      </w:r>
      <w:r>
        <w:t xml:space="preserve">he </w:t>
      </w:r>
      <w:r>
        <w:lastRenderedPageBreak/>
        <w:t xml:space="preserve">elected members of the Governing Board stand and act in their individual capacity, not representing their employers. </w:t>
      </w:r>
    </w:p>
    <w:p w14:paraId="3589540D" w14:textId="77777777" w:rsidR="006641F0" w:rsidRDefault="006641F0">
      <w:pPr>
        <w:pStyle w:val="BodyA"/>
      </w:pPr>
    </w:p>
    <w:p w14:paraId="706A4D30" w14:textId="77777777" w:rsidR="006641F0" w:rsidRDefault="0023243E">
      <w:pPr>
        <w:pStyle w:val="BodyA"/>
      </w:pPr>
      <w:r>
        <w:t>The Governing Board, including the facility operator representative, shall be collectively responsible for completing all of the neces</w:t>
      </w:r>
      <w:r>
        <w:t>sary work of the exchange, including but not limited to communications with Participants, Signatories, and the public; normal and emergency technical operation of the --IX--; and facilitation of all governance functions. The Governing Board may delegate th</w:t>
      </w:r>
      <w:r>
        <w:t xml:space="preserve">e completion of individual tasks or areas of responsibility to other </w:t>
      </w:r>
      <w:proofErr w:type="gramStart"/>
      <w:r>
        <w:t>parties, but</w:t>
      </w:r>
      <w:proofErr w:type="gramEnd"/>
      <w:r>
        <w:t xml:space="preserve"> are themselves ultimately responsible for the completion of all necessary work.</w:t>
      </w:r>
    </w:p>
    <w:p w14:paraId="39201BCE" w14:textId="77777777" w:rsidR="006641F0" w:rsidRDefault="006641F0">
      <w:pPr>
        <w:pStyle w:val="BodyA"/>
      </w:pPr>
    </w:p>
    <w:p w14:paraId="1FD780EF" w14:textId="77777777" w:rsidR="006641F0" w:rsidRDefault="0023243E">
      <w:pPr>
        <w:pStyle w:val="BodyA"/>
      </w:pPr>
      <w:r>
        <w:t xml:space="preserve">The members of the Governing Board serve as volunteers, without compensation, and are not </w:t>
      </w:r>
      <w:proofErr w:type="spellStart"/>
      <w:r>
        <w:t>aut</w:t>
      </w:r>
      <w:r>
        <w:t>horised</w:t>
      </w:r>
      <w:proofErr w:type="spellEnd"/>
      <w:r>
        <w:t xml:space="preserve"> to in-debt the --IX-- nor its Participants in any way.</w:t>
      </w:r>
    </w:p>
    <w:p w14:paraId="297A1529" w14:textId="77777777" w:rsidR="006641F0" w:rsidRDefault="006641F0">
      <w:pPr>
        <w:pStyle w:val="BodyA"/>
      </w:pPr>
    </w:p>
    <w:p w14:paraId="4B8A928C" w14:textId="77777777" w:rsidR="006641F0" w:rsidRDefault="0023243E">
      <w:pPr>
        <w:pStyle w:val="BodyA"/>
      </w:pPr>
      <w:r>
        <w:t>Election of the Governing Board shall occur by secret ballot annually in conjunction with a Regular Meeting.  Members of the Governing Board shall serve staggered three-year terms, such that t</w:t>
      </w:r>
      <w:r>
        <w:t>wo of the five seats shall be open for election in two-thirds of years, and one shall be open for election in the third year. The process shall be started by awarding the highest vote-getter in the initial election a three-year term, the second and third v</w:t>
      </w:r>
      <w:r>
        <w:t>ote-getters two-year terms, and the fourth and fifth vote-getters one year terms. After the expiry of these initial terms, all terms shall be for three years.</w:t>
      </w:r>
    </w:p>
    <w:p w14:paraId="1E24D7BC" w14:textId="77777777" w:rsidR="006641F0" w:rsidRDefault="006641F0">
      <w:pPr>
        <w:pStyle w:val="BodyA"/>
      </w:pPr>
    </w:p>
    <w:p w14:paraId="0674F6BB" w14:textId="77777777" w:rsidR="006641F0" w:rsidRDefault="0023243E">
      <w:pPr>
        <w:pStyle w:val="BodyA"/>
      </w:pPr>
      <w:r>
        <w:t>Operators of the facilities which host the --IX-- shall be collectively entitled to a single non</w:t>
      </w:r>
      <w:r>
        <w:t>-voting observer seat on the Governing Board, and shall decide among themselves how that seat shall be filled, provided only that the individual shall be competent to do their share of the work of the Governing Board.</w:t>
      </w:r>
    </w:p>
    <w:p w14:paraId="502A1696" w14:textId="77777777" w:rsidR="006641F0" w:rsidRDefault="006641F0">
      <w:pPr>
        <w:pStyle w:val="BodyA"/>
      </w:pPr>
    </w:p>
    <w:p w14:paraId="79B14A3C" w14:textId="77777777" w:rsidR="006641F0" w:rsidRDefault="0023243E">
      <w:pPr>
        <w:pStyle w:val="Heading2"/>
      </w:pPr>
      <w:r>
        <w:t>Modification of This Policy Document</w:t>
      </w:r>
    </w:p>
    <w:p w14:paraId="2179E685" w14:textId="77777777" w:rsidR="006641F0" w:rsidRDefault="0023243E">
      <w:pPr>
        <w:pStyle w:val="BodyA"/>
      </w:pPr>
      <w:r>
        <w:t>This policy document shall be modified as needed by the Governing Board. All modifications are subject to ratification by a majority vote of the Participants no later than the next Regular Meeting. Significant modifications to the policy document should ge</w:t>
      </w:r>
      <w:r>
        <w:t xml:space="preserve">nerally only be made after discussion among the Participants and arrival at </w:t>
      </w:r>
      <w:proofErr w:type="gramStart"/>
      <w:r>
        <w:t>a general consensus</w:t>
      </w:r>
      <w:proofErr w:type="gramEnd"/>
      <w:r>
        <w:t>. Any modifications which fail to achieve ratification shall be immediately reversed.</w:t>
      </w:r>
    </w:p>
    <w:p w14:paraId="5C8D4692" w14:textId="77777777" w:rsidR="006641F0" w:rsidRDefault="006641F0">
      <w:pPr>
        <w:pStyle w:val="BodyA"/>
      </w:pPr>
    </w:p>
    <w:p w14:paraId="32D9291B" w14:textId="77777777" w:rsidR="006641F0" w:rsidRDefault="0023243E">
      <w:pPr>
        <w:pStyle w:val="Heading2"/>
      </w:pPr>
      <w:r>
        <w:t>Votes of No Confidence</w:t>
      </w:r>
    </w:p>
    <w:p w14:paraId="500AB106" w14:textId="77777777" w:rsidR="006641F0" w:rsidRDefault="0023243E">
      <w:pPr>
        <w:pStyle w:val="BodyA"/>
      </w:pPr>
      <w:r>
        <w:t xml:space="preserve">At any time, a Vote of No Confidence may be called </w:t>
      </w:r>
      <w:r>
        <w:t xml:space="preserve">by </w:t>
      </w:r>
      <w:proofErr w:type="gramStart"/>
      <w:r>
        <w:t>a majority of</w:t>
      </w:r>
      <w:proofErr w:type="gramEnd"/>
      <w:r>
        <w:t xml:space="preserve"> the Participants, and such vote may concern any Governing Board member, action, or policy.  Votes of No Confidence shall be conducted and presided over by an appointee of the </w:t>
      </w:r>
      <w:proofErr w:type="gramStart"/>
      <w:r>
        <w:t>Participants, and</w:t>
      </w:r>
      <w:proofErr w:type="gramEnd"/>
      <w:r>
        <w:t xml:space="preserve"> shall be by public ballot.</w:t>
      </w:r>
    </w:p>
    <w:p w14:paraId="45360035" w14:textId="77777777" w:rsidR="006641F0" w:rsidRDefault="0023243E">
      <w:pPr>
        <w:pStyle w:val="Heading1"/>
      </w:pPr>
      <w:r>
        <w:rPr>
          <w:rFonts w:ascii="Arial Unicode MS" w:hAnsi="Arial Unicode MS"/>
          <w:b w:val="0"/>
          <w:bCs w:val="0"/>
        </w:rPr>
        <w:br w:type="page"/>
      </w:r>
    </w:p>
    <w:p w14:paraId="43B2C09A" w14:textId="77777777" w:rsidR="006641F0" w:rsidRDefault="0023243E">
      <w:pPr>
        <w:pStyle w:val="Heading1"/>
      </w:pPr>
      <w:r>
        <w:lastRenderedPageBreak/>
        <w:t>Layer 2 Technical</w:t>
      </w:r>
      <w:r>
        <w:t xml:space="preserve"> Policy</w:t>
      </w:r>
    </w:p>
    <w:p w14:paraId="3B93BB7F" w14:textId="77777777" w:rsidR="006641F0" w:rsidRDefault="0023243E">
      <w:pPr>
        <w:pStyle w:val="Heading2"/>
      </w:pPr>
      <w:r>
        <w:t>Ethernet Frame Format</w:t>
      </w:r>
    </w:p>
    <w:p w14:paraId="2D8CD207" w14:textId="77777777" w:rsidR="006641F0" w:rsidRDefault="0023243E">
      <w:pPr>
        <w:pStyle w:val="BodyA"/>
      </w:pPr>
      <w:r>
        <w:t xml:space="preserve">The --IX-- requires that participants </w:t>
      </w:r>
      <w:proofErr w:type="spellStart"/>
      <w:r>
        <w:t>utilise</w:t>
      </w:r>
      <w:proofErr w:type="spellEnd"/>
      <w:r>
        <w:t xml:space="preserve"> only Ethernet Version 2, DIX Ethernet, or 802.3 framing for Ethernet frames transmitted across the --IX-- switch fabric.</w:t>
      </w:r>
    </w:p>
    <w:p w14:paraId="0E6216AF" w14:textId="77777777" w:rsidR="006641F0" w:rsidRDefault="006641F0">
      <w:pPr>
        <w:pStyle w:val="BodyA"/>
      </w:pPr>
    </w:p>
    <w:p w14:paraId="640CFDA1" w14:textId="77777777" w:rsidR="006641F0" w:rsidRDefault="0023243E">
      <w:pPr>
        <w:pStyle w:val="Heading2"/>
      </w:pPr>
      <w:r>
        <w:t>Ethernet Data Types</w:t>
      </w:r>
    </w:p>
    <w:p w14:paraId="616B0352" w14:textId="77777777" w:rsidR="006641F0" w:rsidRDefault="0023243E">
      <w:pPr>
        <w:pStyle w:val="BodyA"/>
      </w:pPr>
      <w:r>
        <w:t>While the --IX-- does not prohibit any</w:t>
      </w:r>
      <w:r>
        <w:t xml:space="preserve"> Ethernet Data Type, 0x0800 (Internet Protocol version 4, or IPv4), 0x86dd (Internet Protocol version 6, or IPv6), and 0x0806 (Address Resolution Protocol, or ARP) are explicitly </w:t>
      </w:r>
      <w:proofErr w:type="spellStart"/>
      <w:r>
        <w:t>recognised</w:t>
      </w:r>
      <w:proofErr w:type="spellEnd"/>
      <w:r>
        <w:t xml:space="preserve"> as the Data Types most frequently used, and any others may be subj</w:t>
      </w:r>
      <w:r>
        <w:t>ect to special scrutiny by the Governing Board.</w:t>
      </w:r>
    </w:p>
    <w:p w14:paraId="616B47F7" w14:textId="77777777" w:rsidR="006641F0" w:rsidRDefault="006641F0">
      <w:pPr>
        <w:pStyle w:val="BodyA"/>
      </w:pPr>
    </w:p>
    <w:p w14:paraId="6BB4AD23" w14:textId="77777777" w:rsidR="006641F0" w:rsidRDefault="0023243E">
      <w:pPr>
        <w:pStyle w:val="Heading2"/>
      </w:pPr>
      <w:r>
        <w:t>Maximum Transmission Unit</w:t>
      </w:r>
    </w:p>
    <w:p w14:paraId="0D6312D3" w14:textId="77777777" w:rsidR="006641F0" w:rsidRDefault="0023243E">
      <w:pPr>
        <w:pStyle w:val="BodyA"/>
      </w:pPr>
      <w:r>
        <w:t>All Participants must explicitly set a Maximum Transmission Unit (MTU) of 9000 bytes on any interface facing the --IX-- switch fabric.</w:t>
      </w:r>
    </w:p>
    <w:p w14:paraId="2CD5ECEA" w14:textId="77777777" w:rsidR="006641F0" w:rsidRDefault="006641F0">
      <w:pPr>
        <w:pStyle w:val="BodyA"/>
      </w:pPr>
    </w:p>
    <w:p w14:paraId="25EE92B1" w14:textId="77777777" w:rsidR="006641F0" w:rsidRDefault="0023243E">
      <w:pPr>
        <w:pStyle w:val="Heading2"/>
      </w:pPr>
      <w:r>
        <w:t>Broadcast Traffic</w:t>
      </w:r>
    </w:p>
    <w:p w14:paraId="4C7E674B" w14:textId="77777777" w:rsidR="006641F0" w:rsidRDefault="0023243E">
      <w:pPr>
        <w:pStyle w:val="BodyA"/>
      </w:pPr>
      <w:r>
        <w:t xml:space="preserve">Broadcast traffic may </w:t>
      </w:r>
      <w:r>
        <w:t xml:space="preserve">not </w:t>
      </w:r>
      <w:proofErr w:type="gramStart"/>
      <w:r>
        <w:t>transmitted</w:t>
      </w:r>
      <w:proofErr w:type="gramEnd"/>
      <w:r>
        <w:t xml:space="preserve"> on the --IX-- switch fabric except for ARP, IPv6 Neighbor Solicitation, and as required for multicast transmission.</w:t>
      </w:r>
    </w:p>
    <w:p w14:paraId="284D7DAB" w14:textId="77777777" w:rsidR="006641F0" w:rsidRDefault="006641F0">
      <w:pPr>
        <w:pStyle w:val="BodyA"/>
      </w:pPr>
    </w:p>
    <w:p w14:paraId="3FDABF4B" w14:textId="77777777" w:rsidR="006641F0" w:rsidRDefault="0023243E">
      <w:pPr>
        <w:pStyle w:val="Heading2"/>
      </w:pPr>
      <w:r>
        <w:t>Participant Port Congestion Management</w:t>
      </w:r>
    </w:p>
    <w:p w14:paraId="45E98699" w14:textId="77777777" w:rsidR="006641F0" w:rsidRDefault="0023243E">
      <w:pPr>
        <w:pStyle w:val="BodyA"/>
      </w:pPr>
      <w:r>
        <w:t>Because the commonly-used five-minute average traffic statistics mask congestion-cau</w:t>
      </w:r>
      <w:r>
        <w:t xml:space="preserve">sing microbursts of traffic, Participant ports peaking above 85% average </w:t>
      </w:r>
      <w:proofErr w:type="spellStart"/>
      <w:r>
        <w:t>utilisation</w:t>
      </w:r>
      <w:proofErr w:type="spellEnd"/>
      <w:r>
        <w:t xml:space="preserve"> within any five-minute period in any three consecutive days shall receive additional or larger --IX-- core switch ports as necessary to bring the peak </w:t>
      </w:r>
      <w:proofErr w:type="spellStart"/>
      <w:r>
        <w:t>utilisation</w:t>
      </w:r>
      <w:proofErr w:type="spellEnd"/>
      <w:r>
        <w:t xml:space="preserve"> below th</w:t>
      </w:r>
      <w:r>
        <w:t>e upgrade threshold, and the Participant shall be obligated to use those ports to increase interconnection bandwidth to their network at their own cost. Responsible Participants will proactively monitor traffic levels and anticipate the need for such upgra</w:t>
      </w:r>
      <w:r>
        <w:t>des.</w:t>
      </w:r>
    </w:p>
    <w:p w14:paraId="2ADD7A11" w14:textId="77777777" w:rsidR="006641F0" w:rsidRDefault="006641F0">
      <w:pPr>
        <w:pStyle w:val="BodyA"/>
      </w:pPr>
    </w:p>
    <w:p w14:paraId="0DA0B9E4" w14:textId="77777777" w:rsidR="006641F0" w:rsidRDefault="0023243E">
      <w:pPr>
        <w:pStyle w:val="BodyA"/>
      </w:pPr>
      <w:r>
        <w:t>If port congestion results in packet loss, the Governing Board may release this information in response to requests from other Participants.</w:t>
      </w:r>
    </w:p>
    <w:p w14:paraId="6A081FE4" w14:textId="77777777" w:rsidR="006641F0" w:rsidRDefault="006641F0">
      <w:pPr>
        <w:pStyle w:val="BodyA"/>
      </w:pPr>
    </w:p>
    <w:p w14:paraId="54BC5348" w14:textId="77777777" w:rsidR="006641F0" w:rsidRDefault="0023243E">
      <w:pPr>
        <w:pStyle w:val="Heading2"/>
      </w:pPr>
      <w:r>
        <w:t>MAC Address Limitation</w:t>
      </w:r>
    </w:p>
    <w:p w14:paraId="57D3C8BF" w14:textId="77777777" w:rsidR="006641F0" w:rsidRDefault="0023243E">
      <w:pPr>
        <w:pStyle w:val="BodyA"/>
      </w:pPr>
      <w:r>
        <w:t xml:space="preserve">Participants may </w:t>
      </w:r>
      <w:proofErr w:type="spellStart"/>
      <w:r>
        <w:t>utilise</w:t>
      </w:r>
      <w:proofErr w:type="spellEnd"/>
      <w:r>
        <w:t xml:space="preserve"> a single layer-2 MAC address to connect a single layer-3 rou</w:t>
      </w:r>
      <w:r>
        <w:t>ter to each port or LAG group allocated to them by the Governing Board. Change of MAC address (such as due to the replacement of Participants’ router) may require explicit notification to the Governing Board. Any need for multiple MAC addresses on the same</w:t>
      </w:r>
      <w:r>
        <w:t xml:space="preserve"> port or LAG group must be addressed through the Switch Fabric Extension policy.</w:t>
      </w:r>
    </w:p>
    <w:p w14:paraId="72C92E30" w14:textId="77777777" w:rsidR="006641F0" w:rsidRDefault="006641F0">
      <w:pPr>
        <w:pStyle w:val="BodyA"/>
      </w:pPr>
    </w:p>
    <w:p w14:paraId="2AFDC95F" w14:textId="77777777" w:rsidR="006641F0" w:rsidRDefault="0023243E">
      <w:pPr>
        <w:pStyle w:val="Heading2"/>
      </w:pPr>
      <w:r>
        <w:lastRenderedPageBreak/>
        <w:t>Quarantine</w:t>
      </w:r>
    </w:p>
    <w:p w14:paraId="65230492" w14:textId="77777777" w:rsidR="006641F0" w:rsidRDefault="0023243E">
      <w:pPr>
        <w:pStyle w:val="BodyA"/>
      </w:pPr>
      <w:r>
        <w:t xml:space="preserve">Upon initial connection and subsequently if they deem necessary, the Governing Board may place a Participant’s port into a separate “quarantine” VLAN for </w:t>
      </w:r>
      <w:r>
        <w:t>diagnostic purposes or to verify policy-compliant operation.</w:t>
      </w:r>
    </w:p>
    <w:p w14:paraId="0B7344B0" w14:textId="77777777" w:rsidR="006641F0" w:rsidRDefault="006641F0">
      <w:pPr>
        <w:pStyle w:val="BodyA"/>
      </w:pPr>
    </w:p>
    <w:p w14:paraId="601EB9C6" w14:textId="77777777" w:rsidR="006641F0" w:rsidRDefault="0023243E">
      <w:pPr>
        <w:pStyle w:val="Heading2"/>
      </w:pPr>
      <w:r>
        <w:t>Switch Fabric Extension</w:t>
      </w:r>
    </w:p>
    <w:p w14:paraId="15C9D6B8" w14:textId="77777777" w:rsidR="006641F0" w:rsidRDefault="0023243E">
      <w:pPr>
        <w:pStyle w:val="BodyA"/>
      </w:pPr>
      <w:r>
        <w:t>A Participant or facility operator may wish to extend the --IX-- switch fabric through the interconnection of an additional layer-2 switch, typically in another room or b</w:t>
      </w:r>
      <w:r>
        <w:t>uilding. The prospective Operator of a switch fabric extension shall present a proposal to the Governing Board including full technical documentation. This proposal shall be published for comment by the Participants and the public for a period of no less t</w:t>
      </w:r>
      <w:r>
        <w:t>han two weeks, following which the Governing Board shall determine whether the Operator may perform the proposed interconnection. Approved extensions shall be allocated a port or LAG group on the --IX-- core switch of sufficient capacity to accommodate imm</w:t>
      </w:r>
      <w:r>
        <w:t>ediately projected traffic, and that port shall not have static MAC address limitations imposed. Participants exist in a single class, regardless of whether they connect to a --IX-- core switch or an extension switch. They receive their peering subnet IP a</w:t>
      </w:r>
      <w:r>
        <w:t>ddresses directly from the Governing Board, not the Extension switch fabric Operator, and are subject to all of the same rights and responsibilities defined in this document, in addition to any requirements imposed by the Operator of the extension switch t</w:t>
      </w:r>
      <w:r>
        <w:t>hrough which they’re connected.</w:t>
      </w:r>
    </w:p>
    <w:p w14:paraId="7B3F18FF" w14:textId="77777777" w:rsidR="006641F0" w:rsidRDefault="006641F0">
      <w:pPr>
        <w:pStyle w:val="BodyA"/>
      </w:pPr>
    </w:p>
    <w:p w14:paraId="3EAEEBC4" w14:textId="77777777" w:rsidR="006641F0" w:rsidRDefault="0023243E">
      <w:pPr>
        <w:pStyle w:val="BodyA"/>
      </w:pPr>
      <w:r>
        <w:t>No more than one switch fabric extension proposal shall be entertained at a time, and any subsequent modifications to the interconnected equipment shall be subject to prior approval by the board. The Operator shall be respo</w:t>
      </w:r>
      <w:r>
        <w:t>nsible for maintaining documentation of all layer-2 devices comprising the switch fabric to the Governing Board’s satisfaction, and such documentation shall always be available to the Governing Board.</w:t>
      </w:r>
    </w:p>
    <w:p w14:paraId="5797A53A" w14:textId="77777777" w:rsidR="006641F0" w:rsidRDefault="006641F0">
      <w:pPr>
        <w:pStyle w:val="BodyA"/>
      </w:pPr>
    </w:p>
    <w:p w14:paraId="6FAA98E7" w14:textId="77777777" w:rsidR="006641F0" w:rsidRDefault="0023243E">
      <w:pPr>
        <w:pStyle w:val="BodyA"/>
      </w:pPr>
      <w:r>
        <w:t xml:space="preserve">Switch fabric extensions proposals shall be judged on </w:t>
      </w:r>
      <w:r>
        <w:t>their technical merits and the apparent competence of the proposed Operator. The Governing Board shall not withhold approval for a switch fabric extension for anti-competitive reasons.</w:t>
      </w:r>
    </w:p>
    <w:p w14:paraId="7EB8D944" w14:textId="77777777" w:rsidR="006641F0" w:rsidRDefault="006641F0">
      <w:pPr>
        <w:pStyle w:val="BodyA"/>
      </w:pPr>
    </w:p>
    <w:p w14:paraId="1473EF94" w14:textId="77777777" w:rsidR="006641F0" w:rsidRDefault="0023243E">
      <w:pPr>
        <w:pStyle w:val="Heading2"/>
      </w:pPr>
      <w:r>
        <w:t>Switch Fabric Extension Congestion Management</w:t>
      </w:r>
    </w:p>
    <w:p w14:paraId="3EBACD91" w14:textId="77777777" w:rsidR="006641F0" w:rsidRDefault="0023243E">
      <w:pPr>
        <w:pStyle w:val="BodyA"/>
      </w:pPr>
      <w:r>
        <w:t>Because the commonly-use</w:t>
      </w:r>
      <w:r>
        <w:t xml:space="preserve">d five-minute average traffic statistics mask congestion-causing microbursts of traffic, extension ports peaking above 65% average </w:t>
      </w:r>
      <w:proofErr w:type="spellStart"/>
      <w:r>
        <w:t>utilisation</w:t>
      </w:r>
      <w:proofErr w:type="spellEnd"/>
      <w:r>
        <w:t xml:space="preserve"> within any five-minute period in any three consecutive days shall receive additional or larger --IX-- core switch</w:t>
      </w:r>
      <w:r>
        <w:t xml:space="preserve"> ports as necessary to bring the peak </w:t>
      </w:r>
      <w:proofErr w:type="spellStart"/>
      <w:r>
        <w:t>utilisation</w:t>
      </w:r>
      <w:proofErr w:type="spellEnd"/>
      <w:r>
        <w:t xml:space="preserve"> below the upgrade threshold, and the extension Operator shall be obligated to use those ports to increase interconnection bandwidth to their extension switch at their own cost. Responsible extension Operato</w:t>
      </w:r>
      <w:r>
        <w:t>rs will proactively monitor traffic levels and anticipate the need for such upgrades.</w:t>
      </w:r>
    </w:p>
    <w:p w14:paraId="1F6D147C" w14:textId="77777777" w:rsidR="006641F0" w:rsidRDefault="006641F0">
      <w:pPr>
        <w:pStyle w:val="BodyA"/>
      </w:pPr>
    </w:p>
    <w:p w14:paraId="36B7A699" w14:textId="77777777" w:rsidR="006641F0" w:rsidRDefault="0023243E">
      <w:pPr>
        <w:pStyle w:val="BodyA"/>
      </w:pPr>
      <w:r>
        <w:t xml:space="preserve">If an extension port peaks above 90% </w:t>
      </w:r>
      <w:proofErr w:type="spellStart"/>
      <w:r>
        <w:t>utilisation</w:t>
      </w:r>
      <w:proofErr w:type="spellEnd"/>
      <w:r>
        <w:t>, or if there is active packet loss, the Governing Board shall notify Participants connected to the extension switch.</w:t>
      </w:r>
    </w:p>
    <w:p w14:paraId="3E7F1559" w14:textId="77777777" w:rsidR="006641F0" w:rsidRDefault="006641F0">
      <w:pPr>
        <w:pStyle w:val="BodyA"/>
      </w:pPr>
    </w:p>
    <w:p w14:paraId="2C62C209" w14:textId="77777777" w:rsidR="006641F0" w:rsidRDefault="0023243E">
      <w:pPr>
        <w:pStyle w:val="Heading1"/>
      </w:pPr>
      <w:r>
        <w:t>La</w:t>
      </w:r>
      <w:r>
        <w:t>yer 3 Technical Policy</w:t>
      </w:r>
    </w:p>
    <w:p w14:paraId="63BAB0C7" w14:textId="77777777" w:rsidR="006641F0" w:rsidRDefault="0023243E">
      <w:pPr>
        <w:pStyle w:val="Heading2"/>
      </w:pPr>
      <w:r>
        <w:t>IPv6 Transport of BGP</w:t>
      </w:r>
    </w:p>
    <w:p w14:paraId="0C1CB683" w14:textId="77777777" w:rsidR="006641F0" w:rsidRDefault="0023243E">
      <w:pPr>
        <w:pStyle w:val="BodyA"/>
      </w:pPr>
      <w:r>
        <w:t>Technically, IPv4 routes and IPv6 routes may be exchanged over IPv4 transport, IPv6 transport, or both.</w:t>
      </w:r>
    </w:p>
    <w:p w14:paraId="44926880" w14:textId="77777777" w:rsidR="006641F0" w:rsidRDefault="006641F0">
      <w:pPr>
        <w:pStyle w:val="BodyA"/>
      </w:pPr>
    </w:p>
    <w:p w14:paraId="3FBFD715" w14:textId="77777777" w:rsidR="006641F0" w:rsidRDefault="0023243E">
      <w:pPr>
        <w:pStyle w:val="Heading2"/>
      </w:pPr>
      <w:r>
        <w:t>Next Hop Self</w:t>
      </w:r>
    </w:p>
    <w:p w14:paraId="3DAB1FA3" w14:textId="77777777" w:rsidR="006641F0" w:rsidRDefault="0023243E">
      <w:pPr>
        <w:pStyle w:val="BodyA"/>
      </w:pPr>
      <w:proofErr w:type="gramStart"/>
      <w:r>
        <w:t>In order to</w:t>
      </w:r>
      <w:proofErr w:type="gramEnd"/>
      <w:r>
        <w:t xml:space="preserve"> prevent the propagation of third-party routes, participants must set </w:t>
      </w:r>
      <w:r>
        <w:t>NEXT_HOP_SELF on all routes advertised through the --IX--.</w:t>
      </w:r>
    </w:p>
    <w:p w14:paraId="68E99657" w14:textId="77777777" w:rsidR="006641F0" w:rsidRDefault="006641F0">
      <w:pPr>
        <w:pStyle w:val="BodyA"/>
      </w:pPr>
    </w:p>
    <w:p w14:paraId="6439778C" w14:textId="77777777" w:rsidR="006641F0" w:rsidRDefault="0023243E">
      <w:pPr>
        <w:pStyle w:val="Heading2"/>
      </w:pPr>
      <w:r>
        <w:t>Public Autonomous System Numbers</w:t>
      </w:r>
    </w:p>
    <w:p w14:paraId="0BAC1DF0" w14:textId="77777777" w:rsidR="006641F0" w:rsidRDefault="0023243E">
      <w:pPr>
        <w:pStyle w:val="BodyA"/>
      </w:pPr>
      <w:r>
        <w:t>Participants shall use public Autonomous System Numbers allocated uniquely to them by a Regional Internet Registry. Participants may not use private, reserved-rang</w:t>
      </w:r>
      <w:r>
        <w:t>e Autonomous System Numbers.</w:t>
      </w:r>
    </w:p>
    <w:p w14:paraId="65053F20" w14:textId="77777777" w:rsidR="006641F0" w:rsidRDefault="006641F0">
      <w:pPr>
        <w:pStyle w:val="BodyA"/>
      </w:pPr>
    </w:p>
    <w:p w14:paraId="15539EA5" w14:textId="77777777" w:rsidR="006641F0" w:rsidRDefault="0023243E">
      <w:pPr>
        <w:pStyle w:val="Heading2"/>
      </w:pPr>
      <w:r>
        <w:t>Routing Aggregation</w:t>
      </w:r>
    </w:p>
    <w:p w14:paraId="43F9E89F" w14:textId="77777777" w:rsidR="006641F0" w:rsidRDefault="0023243E">
      <w:pPr>
        <w:pStyle w:val="BodyA"/>
      </w:pPr>
      <w:r>
        <w:t>Participants are encouraged to aggregate their IP prefix announcements into the fewest prefixes feasible, in accordance with best practices. Disaggregation for purposes of “traffic management” places a burd</w:t>
      </w:r>
      <w:r>
        <w:t>en on peers and the rest of the network and creates a detrimental externality.</w:t>
      </w:r>
    </w:p>
    <w:p w14:paraId="655DFCF1" w14:textId="77777777" w:rsidR="006641F0" w:rsidRDefault="006641F0">
      <w:pPr>
        <w:pStyle w:val="BodyA"/>
      </w:pPr>
    </w:p>
    <w:p w14:paraId="61BD99F1" w14:textId="77777777" w:rsidR="006641F0" w:rsidRDefault="0023243E">
      <w:pPr>
        <w:pStyle w:val="Heading2"/>
      </w:pPr>
      <w:r>
        <w:t>Prefixes Advertised</w:t>
      </w:r>
    </w:p>
    <w:p w14:paraId="41C79E13" w14:textId="77777777" w:rsidR="006641F0" w:rsidRDefault="0023243E">
      <w:pPr>
        <w:pStyle w:val="BodyA"/>
      </w:pPr>
      <w:r>
        <w:t>All IP prefixes advertised at the --IX-- must be delegated for unique use by a Regional Internet Registry, and the Participant advertising them must have th</w:t>
      </w:r>
      <w:r>
        <w:t>e legal right to do so clearly conferred to them by the current registrant.</w:t>
      </w:r>
    </w:p>
    <w:p w14:paraId="22080B7B" w14:textId="77777777" w:rsidR="006641F0" w:rsidRDefault="006641F0">
      <w:pPr>
        <w:pStyle w:val="BodyA"/>
      </w:pPr>
    </w:p>
    <w:p w14:paraId="29AD3996" w14:textId="77777777" w:rsidR="006641F0" w:rsidRDefault="0023243E">
      <w:pPr>
        <w:pStyle w:val="Heading2"/>
      </w:pPr>
      <w:r>
        <w:t>No Broadcast Protocols</w:t>
      </w:r>
    </w:p>
    <w:p w14:paraId="75870967" w14:textId="77777777" w:rsidR="006641F0" w:rsidRDefault="0023243E">
      <w:pPr>
        <w:pStyle w:val="BodyA"/>
      </w:pPr>
      <w:proofErr w:type="gramStart"/>
      <w:r>
        <w:t>In order to</w:t>
      </w:r>
      <w:proofErr w:type="gramEnd"/>
      <w:r>
        <w:t xml:space="preserve"> reduce unnecessary broadcast traffic, Participants must disable Interior Gateway Protocols, service discovery protocols, and other broadcast pro</w:t>
      </w:r>
      <w:r>
        <w:t>tocols toward the --IX--. Participants must filter IP directed broadcast packets addressed to the --IX-- broadcast addresses before they reach the --IX-- peering subnets.</w:t>
      </w:r>
    </w:p>
    <w:p w14:paraId="5880B36C" w14:textId="77777777" w:rsidR="006641F0" w:rsidRDefault="006641F0">
      <w:pPr>
        <w:pStyle w:val="BodyA"/>
      </w:pPr>
    </w:p>
    <w:p w14:paraId="5C700B94" w14:textId="77777777" w:rsidR="006641F0" w:rsidRDefault="0023243E">
      <w:pPr>
        <w:pStyle w:val="Heading2"/>
      </w:pPr>
      <w:r>
        <w:t xml:space="preserve">No Pointing </w:t>
      </w:r>
      <w:proofErr w:type="gramStart"/>
      <w:r>
        <w:t>default</w:t>
      </w:r>
      <w:proofErr w:type="gramEnd"/>
    </w:p>
    <w:p w14:paraId="51790255" w14:textId="77777777" w:rsidR="006641F0" w:rsidRDefault="0023243E">
      <w:pPr>
        <w:pStyle w:val="BodyA"/>
      </w:pPr>
      <w:r>
        <w:t>Participants may not direct traffic to others unless it has been</w:t>
      </w:r>
      <w:r>
        <w:t xml:space="preserve"> solicited via the routing announcement of a matching prefix directly to the Participant or via a commonly agreed-upon route server.</w:t>
      </w:r>
    </w:p>
    <w:p w14:paraId="2A5B615B" w14:textId="77777777" w:rsidR="006641F0" w:rsidRDefault="006641F0">
      <w:pPr>
        <w:pStyle w:val="BodyA"/>
      </w:pPr>
    </w:p>
    <w:p w14:paraId="0EB297CF" w14:textId="77777777" w:rsidR="006641F0" w:rsidRDefault="0023243E">
      <w:pPr>
        <w:pStyle w:val="Heading2"/>
      </w:pPr>
      <w:r>
        <w:lastRenderedPageBreak/>
        <w:t>No Redistribution of the IXP Prefixes</w:t>
      </w:r>
    </w:p>
    <w:p w14:paraId="74769911" w14:textId="77777777" w:rsidR="006641F0" w:rsidRDefault="0023243E">
      <w:pPr>
        <w:pStyle w:val="BodyA"/>
      </w:pPr>
      <w:r>
        <w:t xml:space="preserve">Participants may not propagate the IXP IPv4 or IPv6 peering prefixes in any routing </w:t>
      </w:r>
      <w:r>
        <w:t xml:space="preserve">protocol. The --IX-- suggests that Participants set Next-Hop-Self towards peers within their own AS, in order to avoid having to carry the IXP prefixes as next-hops for their </w:t>
      </w:r>
      <w:proofErr w:type="spellStart"/>
      <w:r>
        <w:t>iBGP</w:t>
      </w:r>
      <w:proofErr w:type="spellEnd"/>
      <w:r>
        <w:t xml:space="preserve"> internal peers.</w:t>
      </w:r>
    </w:p>
    <w:p w14:paraId="04DB1C36" w14:textId="77777777" w:rsidR="006641F0" w:rsidRDefault="006641F0">
      <w:pPr>
        <w:pStyle w:val="BodyA"/>
      </w:pPr>
    </w:p>
    <w:p w14:paraId="64D600FB" w14:textId="77777777" w:rsidR="006641F0" w:rsidRDefault="0023243E">
      <w:pPr>
        <w:pStyle w:val="Heading2"/>
      </w:pPr>
      <w:r>
        <w:t>No Transit Through the Switch</w:t>
      </w:r>
    </w:p>
    <w:p w14:paraId="00F09453" w14:textId="77777777" w:rsidR="006641F0" w:rsidRDefault="0023243E">
      <w:pPr>
        <w:pStyle w:val="BodyA"/>
      </w:pPr>
      <w:r>
        <w:t>While the Participants hope t</w:t>
      </w:r>
      <w:r>
        <w:t xml:space="preserve">hat the --IX-- will serve as a marketplace for diverse Internet services in --IX--, the --IX-- switch fabric itself is a constrained and shared resource. </w:t>
      </w:r>
      <w:proofErr w:type="gramStart"/>
      <w:r>
        <w:t>In order to</w:t>
      </w:r>
      <w:proofErr w:type="gramEnd"/>
      <w:r>
        <w:t xml:space="preserve"> avoid a tragedy of the commons, the Participants agree to not provide IP transit service a</w:t>
      </w:r>
      <w:r>
        <w:t>cross the switch. Instead, IP transit services should be provided across other media, such as private cross-connects.</w:t>
      </w:r>
    </w:p>
    <w:p w14:paraId="2876E049" w14:textId="77777777" w:rsidR="006641F0" w:rsidRDefault="006641F0">
      <w:pPr>
        <w:pStyle w:val="BodyA"/>
      </w:pPr>
    </w:p>
    <w:p w14:paraId="738729D5" w14:textId="77777777" w:rsidR="006641F0" w:rsidRDefault="0023243E">
      <w:pPr>
        <w:pStyle w:val="Heading2"/>
      </w:pPr>
      <w:r>
        <w:t>No Transport Through the Switch</w:t>
      </w:r>
    </w:p>
    <w:p w14:paraId="235CC981" w14:textId="77777777" w:rsidR="006641F0" w:rsidRDefault="0023243E">
      <w:pPr>
        <w:pStyle w:val="BodyA"/>
      </w:pPr>
      <w:r>
        <w:t>Participants shall not routinely exchange traffic between ports under their own control.</w:t>
      </w:r>
    </w:p>
    <w:p w14:paraId="39AB1223" w14:textId="77777777" w:rsidR="006641F0" w:rsidRDefault="006641F0">
      <w:pPr>
        <w:pStyle w:val="BodyA"/>
      </w:pPr>
    </w:p>
    <w:p w14:paraId="72E38BFF" w14:textId="77777777" w:rsidR="006641F0" w:rsidRDefault="0023243E">
      <w:pPr>
        <w:pStyle w:val="Heading2"/>
      </w:pPr>
      <w:r>
        <w:t xml:space="preserve">No </w:t>
      </w:r>
      <w:r>
        <w:t>Refusal of Peering</w:t>
      </w:r>
    </w:p>
    <w:p w14:paraId="1E7EBA30" w14:textId="77777777" w:rsidR="006641F0" w:rsidRDefault="0023243E">
      <w:pPr>
        <w:pStyle w:val="BodyA"/>
      </w:pPr>
      <w:r>
        <w:t>Upon receiving a request for peering via its published peering contact email, a Participant acknowledge receipt within two days, and shall have thirty days to set up BGP routing and begin exchanging traffic with the requesting Participan</w:t>
      </w:r>
      <w:r>
        <w:t>t.  No Participant shall refuse to establish peering with any other Participant who requests it, nor shall they refuse to advertise the same set of routes as to any other Participant, nor shall they block or intentionally discard traffic received in respon</w:t>
      </w:r>
      <w:r>
        <w:t xml:space="preserve">se to those routing advertisements.  Notwithstanding the above, Participants may suspend or discontinue peering with other Participants who knowingly violate their Terms of Service or generally-accepted norms of commercial conduct such as BCP-38, provided </w:t>
      </w:r>
      <w:r>
        <w:t>they enforce these policies in a uniform and nondiscriminatory fashion.</w:t>
      </w:r>
    </w:p>
    <w:p w14:paraId="7EB98359" w14:textId="77777777" w:rsidR="006641F0" w:rsidRDefault="006641F0">
      <w:pPr>
        <w:pStyle w:val="BodyA"/>
      </w:pPr>
    </w:p>
    <w:p w14:paraId="2DF0EB37" w14:textId="77777777" w:rsidR="006641F0" w:rsidRDefault="0023243E">
      <w:pPr>
        <w:pStyle w:val="Heading1"/>
      </w:pPr>
      <w:r>
        <w:t>General</w:t>
      </w:r>
    </w:p>
    <w:p w14:paraId="0E7C5674" w14:textId="77777777" w:rsidR="006641F0" w:rsidRDefault="0023243E">
      <w:pPr>
        <w:pStyle w:val="Heading2"/>
      </w:pPr>
      <w:r>
        <w:t>Confidentiality</w:t>
      </w:r>
    </w:p>
    <w:p w14:paraId="530D5FD4" w14:textId="77777777" w:rsidR="006641F0" w:rsidRDefault="0023243E">
      <w:pPr>
        <w:pStyle w:val="BodyA"/>
      </w:pPr>
      <w:r>
        <w:t>Members of the Governing Board will necessarily be privy to confidential information of the Participants occasionally including, among other things, the conten</w:t>
      </w:r>
      <w:r>
        <w:t>t and volume of Participants’ traffic and port error statistics. The Governing Board and its individual members shall not collect or store such information except where necessary to perform their duties, shall treat its confidentiality with at least the sa</w:t>
      </w:r>
      <w:r>
        <w:t xml:space="preserve">me duty of care that they would their own similar information, and shall never </w:t>
      </w:r>
      <w:proofErr w:type="spellStart"/>
      <w:r>
        <w:t>utilise</w:t>
      </w:r>
      <w:proofErr w:type="spellEnd"/>
      <w:r>
        <w:t xml:space="preserve"> this information for other purposes, such as the competitive advantage of their employer.</w:t>
      </w:r>
    </w:p>
    <w:p w14:paraId="432230FE" w14:textId="77777777" w:rsidR="006641F0" w:rsidRDefault="006641F0">
      <w:pPr>
        <w:pStyle w:val="BodyA"/>
      </w:pPr>
    </w:p>
    <w:p w14:paraId="11BE461C" w14:textId="77777777" w:rsidR="006641F0" w:rsidRDefault="0023243E">
      <w:pPr>
        <w:pStyle w:val="Heading2"/>
      </w:pPr>
      <w:r>
        <w:t>Public Documentation</w:t>
      </w:r>
    </w:p>
    <w:p w14:paraId="4B945EBD" w14:textId="77777777" w:rsidR="006641F0" w:rsidRDefault="0023243E">
      <w:pPr>
        <w:pStyle w:val="BodyA"/>
      </w:pPr>
      <w:r>
        <w:t>The Governing Board shall publish this policy document in</w:t>
      </w:r>
      <w:r>
        <w:t xml:space="preserve"> current and historical versions, and other documents of the --IX--, including meeting minutes, aggregate traffic </w:t>
      </w:r>
      <w:r>
        <w:lastRenderedPageBreak/>
        <w:t>statistics, contact information, technical documentation about the operation of the exchange, and instructions for parties contemplating parti</w:t>
      </w:r>
      <w:r>
        <w:t>cipation. Any document shall be considered “published” if it has been posted to the --IX-- web site and the Participants have been notified by email.</w:t>
      </w:r>
    </w:p>
    <w:p w14:paraId="160345D7" w14:textId="77777777" w:rsidR="006641F0" w:rsidRDefault="006641F0">
      <w:pPr>
        <w:pStyle w:val="BodyA"/>
      </w:pPr>
    </w:p>
    <w:p w14:paraId="169B0008" w14:textId="77777777" w:rsidR="006641F0" w:rsidRDefault="0023243E">
      <w:pPr>
        <w:pStyle w:val="Heading2"/>
      </w:pPr>
      <w:r>
        <w:t>Contact and Peering Information</w:t>
      </w:r>
    </w:p>
    <w:p w14:paraId="535CEBDA" w14:textId="77777777" w:rsidR="006641F0" w:rsidRDefault="0023243E">
      <w:pPr>
        <w:pStyle w:val="BodyA"/>
      </w:pPr>
      <w:r>
        <w:t>Each Participant shall maintain current and accurate information publicly</w:t>
      </w:r>
      <w:r>
        <w:t xml:space="preserve"> available on the --IX-- web site, for peering, network operations, and security/abuse.  Contact information shall include, at a minimum, an email address and a telephone number, both of which reach a responsible person during the Participant’s operational</w:t>
      </w:r>
      <w:r>
        <w:t xml:space="preserve"> hours.  If the Participant’s operational hours are not 24/7, or the Participant fails to respond to urgent communications promptly during operational hours, the Governing Board may temporarily deactivate the Participant’s exchange switch ports as they dee</w:t>
      </w:r>
      <w:r>
        <w:t>m necessary in their sole judgment to preserve the health of the exchange.</w:t>
      </w:r>
    </w:p>
    <w:p w14:paraId="2ED0E5D6" w14:textId="77777777" w:rsidR="006641F0" w:rsidRDefault="006641F0">
      <w:pPr>
        <w:pStyle w:val="BodyA"/>
      </w:pPr>
    </w:p>
    <w:p w14:paraId="1F0DFBD7" w14:textId="77777777" w:rsidR="006641F0" w:rsidRDefault="0023243E">
      <w:pPr>
        <w:pStyle w:val="Heading2"/>
      </w:pPr>
      <w:r>
        <w:t>Communication</w:t>
      </w:r>
    </w:p>
    <w:p w14:paraId="76832A50" w14:textId="77777777" w:rsidR="006641F0" w:rsidRDefault="0023243E">
      <w:pPr>
        <w:pStyle w:val="BodyA"/>
      </w:pPr>
      <w:r>
        <w:t>Each Participant is obligated to subscribe to, and monitor, the --IX-- participant mailing list. Official communications between the Governing Board and the Participa</w:t>
      </w:r>
      <w:r>
        <w:t xml:space="preserve">nts shall be made through the mailing </w:t>
      </w:r>
      <w:proofErr w:type="gramStart"/>
      <w:r>
        <w:t>list, or</w:t>
      </w:r>
      <w:proofErr w:type="gramEnd"/>
      <w:r>
        <w:t xml:space="preserve"> noticed on the mailing list and published on the web site.  All messages sent to the --IX-- participant mailing list shall be publicly and permanently archived on the --IX-- web site.</w:t>
      </w:r>
    </w:p>
    <w:p w14:paraId="20FB3CA5" w14:textId="77777777" w:rsidR="006641F0" w:rsidRDefault="006641F0">
      <w:pPr>
        <w:pStyle w:val="BodyA"/>
      </w:pPr>
    </w:p>
    <w:p w14:paraId="615249E6" w14:textId="77777777" w:rsidR="006641F0" w:rsidRDefault="0023243E">
      <w:pPr>
        <w:pStyle w:val="Heading2"/>
      </w:pPr>
      <w:r>
        <w:t>Publicity</w:t>
      </w:r>
    </w:p>
    <w:p w14:paraId="2CE9F318" w14:textId="77777777" w:rsidR="006641F0" w:rsidRDefault="0023243E">
      <w:pPr>
        <w:pStyle w:val="BodyA"/>
      </w:pPr>
      <w:r>
        <w:t>Only the Gover</w:t>
      </w:r>
      <w:r>
        <w:t xml:space="preserve">ning Board and its delegates may speak officially on behalf of the --IX--. Signatories or Participants who wish to mention the --IX-- in communications with the press are requested to coordinate with the Governing Board in advance as a matter of courtesy. </w:t>
      </w:r>
      <w:proofErr w:type="gramStart"/>
      <w:r>
        <w:t>Particular care</w:t>
      </w:r>
      <w:proofErr w:type="gramEnd"/>
      <w:r>
        <w:t xml:space="preserve"> should be taken in discussing any outage or service disruption, as statements may easily be construed as relevant to the status or operations of other Participants. No right is granted to Participants to use other Participants’ names, logos</w:t>
      </w:r>
      <w:r>
        <w:t>, or other information in public communication.</w:t>
      </w:r>
    </w:p>
    <w:p w14:paraId="261FA0D5" w14:textId="77777777" w:rsidR="006641F0" w:rsidRDefault="006641F0">
      <w:pPr>
        <w:pStyle w:val="BodyA"/>
      </w:pPr>
    </w:p>
    <w:p w14:paraId="2669DF4D" w14:textId="77777777" w:rsidR="006641F0" w:rsidRDefault="0023243E">
      <w:pPr>
        <w:pStyle w:val="Heading2"/>
      </w:pPr>
      <w:r>
        <w:t>Law Enforcement Coordination</w:t>
      </w:r>
    </w:p>
    <w:p w14:paraId="46A8513B" w14:textId="77777777" w:rsidR="006641F0" w:rsidRDefault="0023243E">
      <w:pPr>
        <w:pStyle w:val="BodyA"/>
      </w:pPr>
      <w:r>
        <w:t>The Governing Board shall have responsibility for operational coordination with law enforcement, and shall abide by the laws of --IX-- as then in effect and law enforcement reque</w:t>
      </w:r>
      <w:r>
        <w:t>sts that are properly formed and presented under those laws.</w:t>
      </w:r>
    </w:p>
    <w:p w14:paraId="4241307B" w14:textId="77777777" w:rsidR="006641F0" w:rsidRDefault="006641F0">
      <w:pPr>
        <w:pStyle w:val="BodyA"/>
      </w:pPr>
    </w:p>
    <w:p w14:paraId="59EDB5AD" w14:textId="77777777" w:rsidR="006641F0" w:rsidRDefault="0023243E">
      <w:pPr>
        <w:pStyle w:val="Heading2"/>
      </w:pPr>
      <w:r>
        <w:t>Counterparts, Versions, and Precedence</w:t>
      </w:r>
    </w:p>
    <w:p w14:paraId="0F5F8345" w14:textId="77777777" w:rsidR="006641F0" w:rsidRDefault="0023243E">
      <w:pPr>
        <w:pStyle w:val="BodyA"/>
      </w:pPr>
      <w:r>
        <w:t>This document may be executed in one or more counterparts, each of which shall be deemed an original and all of which, taken together, shall constitute one</w:t>
      </w:r>
      <w:r>
        <w:t xml:space="preserve"> and the same document. The master copy of this document shall be maintained on the --IX-- web </w:t>
      </w:r>
      <w:proofErr w:type="gramStart"/>
      <w:r>
        <w:t>site, and</w:t>
      </w:r>
      <w:proofErr w:type="gramEnd"/>
      <w:r>
        <w:t xml:space="preserve"> takes precedence over any prior versions. It forms the whole agreement between the parties and replaces any previous arrangement, understanding or agre</w:t>
      </w:r>
      <w:r>
        <w:t>ement between them relating to the matters addressed in this document.</w:t>
      </w:r>
    </w:p>
    <w:p w14:paraId="5E3BA43D" w14:textId="77777777" w:rsidR="006641F0" w:rsidRDefault="006641F0">
      <w:pPr>
        <w:pStyle w:val="BodyA"/>
      </w:pPr>
    </w:p>
    <w:p w14:paraId="31189E83" w14:textId="77777777" w:rsidR="006641F0" w:rsidRDefault="0023243E">
      <w:pPr>
        <w:pStyle w:val="Heading2"/>
      </w:pPr>
      <w:r>
        <w:t>Intellectual Property</w:t>
      </w:r>
    </w:p>
    <w:p w14:paraId="1885E614" w14:textId="77777777" w:rsidR="006641F0" w:rsidRDefault="0023243E">
      <w:pPr>
        <w:pStyle w:val="BodyA"/>
      </w:pPr>
      <w:r>
        <w:t>This document is published under a Creative Commons Attribution-</w:t>
      </w:r>
      <w:proofErr w:type="spellStart"/>
      <w:r>
        <w:t>ShareAlike</w:t>
      </w:r>
      <w:proofErr w:type="spellEnd"/>
      <w:r>
        <w:t xml:space="preserve"> 4.0 International License, which is included by reference. In turn, this document is de</w:t>
      </w:r>
      <w:r>
        <w:t>rived in part from the Packet Clearing House Internet Exchange Point Policy Documents reference and in part from the Seattle Internet Exchange Point policy document.</w:t>
      </w:r>
    </w:p>
    <w:p w14:paraId="63D8429D" w14:textId="77777777" w:rsidR="006641F0" w:rsidRDefault="006641F0">
      <w:pPr>
        <w:pStyle w:val="BodyA"/>
      </w:pPr>
    </w:p>
    <w:p w14:paraId="7A806775" w14:textId="77777777" w:rsidR="006641F0" w:rsidRDefault="0023243E">
      <w:pPr>
        <w:pStyle w:val="Heading2"/>
      </w:pPr>
      <w:r>
        <w:t>Governing Law</w:t>
      </w:r>
    </w:p>
    <w:p w14:paraId="2B0DFF52" w14:textId="77777777" w:rsidR="006641F0" w:rsidRDefault="0023243E">
      <w:pPr>
        <w:pStyle w:val="BodyA"/>
      </w:pPr>
      <w:r>
        <w:t xml:space="preserve">This document is governed by the laws of --IX-- and is subject to the </w:t>
      </w:r>
      <w:r>
        <w:t>jurisdiction of the courts of --IX--.</w:t>
      </w:r>
    </w:p>
    <w:p w14:paraId="5308C487" w14:textId="77777777" w:rsidR="006641F0" w:rsidRDefault="006641F0">
      <w:pPr>
        <w:pStyle w:val="BodyA"/>
      </w:pPr>
    </w:p>
    <w:p w14:paraId="126863C9" w14:textId="77777777" w:rsidR="006641F0" w:rsidRDefault="006641F0">
      <w:pPr>
        <w:pStyle w:val="BodyA"/>
      </w:pPr>
    </w:p>
    <w:p w14:paraId="49C8C958" w14:textId="77777777" w:rsidR="006641F0" w:rsidRDefault="006641F0">
      <w:pPr>
        <w:pStyle w:val="BodyA"/>
      </w:pPr>
    </w:p>
    <w:p w14:paraId="36E11F11" w14:textId="77777777" w:rsidR="006641F0" w:rsidRDefault="0023243E">
      <w:pPr>
        <w:pStyle w:val="Heading1"/>
      </w:pPr>
      <w:r>
        <w:rPr>
          <w:rFonts w:ascii="Arial Unicode MS" w:hAnsi="Arial Unicode MS"/>
          <w:b w:val="0"/>
          <w:bCs w:val="0"/>
        </w:rPr>
        <w:br w:type="page"/>
      </w:r>
    </w:p>
    <w:p w14:paraId="7571B0CE" w14:textId="77777777" w:rsidR="006641F0" w:rsidRDefault="0023243E">
      <w:pPr>
        <w:pStyle w:val="Heading1"/>
      </w:pPr>
      <w:r>
        <w:lastRenderedPageBreak/>
        <w:t>Agreed</w:t>
      </w:r>
    </w:p>
    <w:p w14:paraId="2598C2AD" w14:textId="77777777" w:rsidR="006641F0" w:rsidRDefault="006641F0">
      <w:pPr>
        <w:pStyle w:val="BodyA"/>
      </w:pPr>
    </w:p>
    <w:p w14:paraId="707139CA" w14:textId="77777777" w:rsidR="006641F0" w:rsidRDefault="0023243E">
      <w:pPr>
        <w:pStyle w:val="BodyA"/>
        <w:tabs>
          <w:tab w:val="right" w:pos="9340"/>
        </w:tabs>
        <w:ind w:left="360"/>
        <w:rPr>
          <w:b/>
          <w:bCs/>
        </w:rPr>
      </w:pPr>
      <w:r>
        <w:rPr>
          <w:b/>
          <w:bCs/>
        </w:rPr>
        <w:t>On behalf of</w:t>
      </w:r>
    </w:p>
    <w:p w14:paraId="42C2FD82" w14:textId="77777777" w:rsidR="006641F0" w:rsidRDefault="006641F0">
      <w:pPr>
        <w:pStyle w:val="BodyA"/>
        <w:tabs>
          <w:tab w:val="right" w:pos="9340"/>
        </w:tabs>
        <w:ind w:left="360"/>
      </w:pPr>
    </w:p>
    <w:p w14:paraId="4D843945" w14:textId="77777777" w:rsidR="006641F0" w:rsidRDefault="006641F0">
      <w:pPr>
        <w:pStyle w:val="BodyA"/>
        <w:tabs>
          <w:tab w:val="left" w:pos="1800"/>
          <w:tab w:val="right" w:pos="9340"/>
        </w:tabs>
        <w:ind w:left="360"/>
        <w:rPr>
          <w:u w:val="single"/>
        </w:rPr>
      </w:pPr>
    </w:p>
    <w:p w14:paraId="6495EC1F" w14:textId="77777777" w:rsidR="006641F0" w:rsidRDefault="0023243E">
      <w:pPr>
        <w:pStyle w:val="BodyA"/>
        <w:tabs>
          <w:tab w:val="left" w:pos="2160"/>
          <w:tab w:val="right" w:pos="9000"/>
        </w:tabs>
        <w:ind w:left="360"/>
      </w:pPr>
      <w:r>
        <w:t>Organization:</w:t>
      </w:r>
      <w:r>
        <w:tab/>
      </w:r>
      <w:r>
        <w:rPr>
          <w:u w:val="single"/>
        </w:rPr>
        <w:tab/>
      </w:r>
    </w:p>
    <w:p w14:paraId="66905C38" w14:textId="77777777" w:rsidR="006641F0" w:rsidRDefault="006641F0">
      <w:pPr>
        <w:pStyle w:val="BodyA"/>
        <w:tabs>
          <w:tab w:val="left" w:pos="2160"/>
          <w:tab w:val="right" w:pos="9000"/>
        </w:tabs>
        <w:ind w:left="360"/>
      </w:pPr>
    </w:p>
    <w:p w14:paraId="4B2EACF4" w14:textId="77777777" w:rsidR="006641F0" w:rsidRDefault="006641F0">
      <w:pPr>
        <w:pStyle w:val="BodyA"/>
        <w:tabs>
          <w:tab w:val="left" w:pos="2160"/>
          <w:tab w:val="right" w:pos="9000"/>
        </w:tabs>
        <w:ind w:left="360"/>
        <w:rPr>
          <w:u w:val="single"/>
        </w:rPr>
      </w:pPr>
    </w:p>
    <w:p w14:paraId="58ADF9F6" w14:textId="77777777" w:rsidR="006641F0" w:rsidRDefault="0023243E">
      <w:pPr>
        <w:pStyle w:val="BodyA"/>
        <w:tabs>
          <w:tab w:val="left" w:pos="2160"/>
          <w:tab w:val="right" w:pos="9000"/>
        </w:tabs>
        <w:ind w:left="360"/>
      </w:pPr>
      <w:r>
        <w:t>by Signature:</w:t>
      </w:r>
      <w:r>
        <w:tab/>
      </w:r>
      <w:r>
        <w:rPr>
          <w:u w:val="single"/>
        </w:rPr>
        <w:tab/>
      </w:r>
    </w:p>
    <w:p w14:paraId="255B2CBC" w14:textId="77777777" w:rsidR="006641F0" w:rsidRDefault="006641F0">
      <w:pPr>
        <w:pStyle w:val="BodyA"/>
        <w:tabs>
          <w:tab w:val="left" w:pos="2160"/>
          <w:tab w:val="right" w:pos="9000"/>
        </w:tabs>
        <w:ind w:left="360"/>
      </w:pPr>
    </w:p>
    <w:p w14:paraId="35CFDE05" w14:textId="77777777" w:rsidR="006641F0" w:rsidRDefault="006641F0">
      <w:pPr>
        <w:pStyle w:val="BodyA"/>
        <w:tabs>
          <w:tab w:val="left" w:pos="2160"/>
          <w:tab w:val="right" w:pos="9000"/>
        </w:tabs>
        <w:ind w:left="360"/>
        <w:rPr>
          <w:u w:val="single"/>
        </w:rPr>
      </w:pPr>
    </w:p>
    <w:p w14:paraId="028548BA" w14:textId="77777777" w:rsidR="006641F0" w:rsidRDefault="0023243E">
      <w:pPr>
        <w:pStyle w:val="BodyA"/>
        <w:tabs>
          <w:tab w:val="left" w:pos="2160"/>
          <w:tab w:val="right" w:pos="9000"/>
        </w:tabs>
        <w:ind w:left="360"/>
      </w:pPr>
      <w:r>
        <w:t>Printed Name:</w:t>
      </w:r>
      <w:r>
        <w:tab/>
      </w:r>
      <w:r>
        <w:rPr>
          <w:u w:val="single"/>
        </w:rPr>
        <w:tab/>
      </w:r>
    </w:p>
    <w:p w14:paraId="4E43B20E" w14:textId="77777777" w:rsidR="006641F0" w:rsidRDefault="006641F0">
      <w:pPr>
        <w:pStyle w:val="BodyA"/>
        <w:tabs>
          <w:tab w:val="left" w:pos="2160"/>
          <w:tab w:val="right" w:pos="9000"/>
        </w:tabs>
        <w:ind w:left="360"/>
      </w:pPr>
    </w:p>
    <w:p w14:paraId="16129C8E" w14:textId="77777777" w:rsidR="006641F0" w:rsidRDefault="006641F0">
      <w:pPr>
        <w:pStyle w:val="BodyA"/>
        <w:tabs>
          <w:tab w:val="left" w:pos="2160"/>
          <w:tab w:val="right" w:pos="9000"/>
        </w:tabs>
        <w:ind w:left="360"/>
        <w:rPr>
          <w:u w:val="single"/>
        </w:rPr>
      </w:pPr>
    </w:p>
    <w:p w14:paraId="630CB96B" w14:textId="77777777" w:rsidR="006641F0" w:rsidRDefault="0023243E">
      <w:pPr>
        <w:pStyle w:val="BodyA"/>
        <w:tabs>
          <w:tab w:val="left" w:pos="2160"/>
          <w:tab w:val="right" w:pos="9000"/>
        </w:tabs>
        <w:ind w:left="360"/>
      </w:pPr>
      <w:r>
        <w:t>Title:</w:t>
      </w:r>
      <w:r>
        <w:tab/>
      </w:r>
      <w:r>
        <w:rPr>
          <w:u w:val="single"/>
        </w:rPr>
        <w:tab/>
      </w:r>
    </w:p>
    <w:p w14:paraId="7A3222CC" w14:textId="77777777" w:rsidR="006641F0" w:rsidRDefault="006641F0">
      <w:pPr>
        <w:pStyle w:val="BodyA"/>
        <w:tabs>
          <w:tab w:val="left" w:pos="2160"/>
          <w:tab w:val="right" w:pos="9000"/>
        </w:tabs>
        <w:ind w:left="360"/>
      </w:pPr>
    </w:p>
    <w:p w14:paraId="706DDFA5" w14:textId="77777777" w:rsidR="006641F0" w:rsidRDefault="006641F0">
      <w:pPr>
        <w:pStyle w:val="BodyA"/>
        <w:tabs>
          <w:tab w:val="left" w:pos="2160"/>
          <w:tab w:val="right" w:pos="9000"/>
        </w:tabs>
        <w:ind w:left="360"/>
        <w:rPr>
          <w:u w:val="single"/>
        </w:rPr>
      </w:pPr>
    </w:p>
    <w:p w14:paraId="4229C0BE" w14:textId="77777777" w:rsidR="006641F0" w:rsidRDefault="0023243E">
      <w:pPr>
        <w:pStyle w:val="BodyA"/>
        <w:tabs>
          <w:tab w:val="left" w:pos="2160"/>
          <w:tab w:val="right" w:pos="9000"/>
        </w:tabs>
        <w:ind w:left="360"/>
        <w:rPr>
          <w:u w:val="single"/>
        </w:rPr>
      </w:pPr>
      <w:r>
        <w:t>on Date:</w:t>
      </w:r>
      <w:r>
        <w:tab/>
      </w:r>
      <w:r>
        <w:rPr>
          <w:u w:val="single"/>
        </w:rPr>
        <w:tab/>
      </w:r>
    </w:p>
    <w:p w14:paraId="56D3FFFB" w14:textId="77777777" w:rsidR="006641F0" w:rsidRDefault="006641F0">
      <w:pPr>
        <w:pStyle w:val="BodyA"/>
        <w:tabs>
          <w:tab w:val="left" w:pos="2160"/>
          <w:tab w:val="right" w:pos="9000"/>
        </w:tabs>
        <w:ind w:left="360"/>
      </w:pPr>
    </w:p>
    <w:p w14:paraId="1E101A8D" w14:textId="77777777" w:rsidR="006641F0" w:rsidRDefault="006641F0">
      <w:pPr>
        <w:pStyle w:val="BodyA"/>
        <w:ind w:left="360"/>
      </w:pPr>
    </w:p>
    <w:p w14:paraId="6AD748F2" w14:textId="77777777" w:rsidR="006641F0" w:rsidRDefault="0023243E">
      <w:pPr>
        <w:pStyle w:val="BodyA"/>
        <w:tabs>
          <w:tab w:val="right" w:pos="9340"/>
        </w:tabs>
        <w:rPr>
          <w:u w:val="double"/>
        </w:rPr>
      </w:pPr>
      <w:r>
        <w:rPr>
          <w:u w:val="double"/>
        </w:rPr>
        <w:tab/>
      </w:r>
    </w:p>
    <w:p w14:paraId="60164ED1" w14:textId="77777777" w:rsidR="006641F0" w:rsidRDefault="006641F0">
      <w:pPr>
        <w:pStyle w:val="BodyA"/>
        <w:tabs>
          <w:tab w:val="right" w:pos="9340"/>
        </w:tabs>
        <w:ind w:left="360"/>
      </w:pPr>
    </w:p>
    <w:p w14:paraId="52DA9F23" w14:textId="77777777" w:rsidR="006641F0" w:rsidRDefault="006641F0">
      <w:pPr>
        <w:pStyle w:val="BodyA"/>
        <w:tabs>
          <w:tab w:val="right" w:pos="9340"/>
        </w:tabs>
        <w:ind w:left="360"/>
      </w:pPr>
    </w:p>
    <w:p w14:paraId="2817DB2E" w14:textId="77777777" w:rsidR="006641F0" w:rsidRDefault="0023243E">
      <w:pPr>
        <w:pStyle w:val="BodyA"/>
        <w:tabs>
          <w:tab w:val="right" w:pos="9340"/>
        </w:tabs>
        <w:ind w:left="360"/>
        <w:rPr>
          <w:b/>
          <w:bCs/>
        </w:rPr>
      </w:pPr>
      <w:r>
        <w:rPr>
          <w:b/>
          <w:bCs/>
        </w:rPr>
        <w:t>On behalf of</w:t>
      </w:r>
    </w:p>
    <w:p w14:paraId="364048E8" w14:textId="77777777" w:rsidR="006641F0" w:rsidRDefault="006641F0">
      <w:pPr>
        <w:pStyle w:val="BodyA"/>
        <w:tabs>
          <w:tab w:val="right" w:pos="9340"/>
        </w:tabs>
        <w:ind w:left="360"/>
      </w:pPr>
    </w:p>
    <w:p w14:paraId="5B39B3E9" w14:textId="77777777" w:rsidR="006641F0" w:rsidRDefault="006641F0">
      <w:pPr>
        <w:pStyle w:val="BodyA"/>
        <w:tabs>
          <w:tab w:val="left" w:pos="1800"/>
          <w:tab w:val="right" w:pos="9340"/>
        </w:tabs>
        <w:ind w:left="360"/>
        <w:rPr>
          <w:u w:val="single"/>
        </w:rPr>
      </w:pPr>
    </w:p>
    <w:p w14:paraId="4FB7E45C" w14:textId="77777777" w:rsidR="006641F0" w:rsidRDefault="0023243E">
      <w:pPr>
        <w:pStyle w:val="BodyA"/>
        <w:tabs>
          <w:tab w:val="left" w:pos="2160"/>
          <w:tab w:val="right" w:pos="9000"/>
        </w:tabs>
        <w:ind w:left="360"/>
      </w:pPr>
      <w:r>
        <w:t>Organization:</w:t>
      </w:r>
      <w:r>
        <w:tab/>
      </w:r>
      <w:r>
        <w:rPr>
          <w:u w:val="single"/>
        </w:rPr>
        <w:tab/>
      </w:r>
    </w:p>
    <w:p w14:paraId="5CC07AC8" w14:textId="77777777" w:rsidR="006641F0" w:rsidRDefault="006641F0">
      <w:pPr>
        <w:pStyle w:val="BodyA"/>
        <w:tabs>
          <w:tab w:val="left" w:pos="2160"/>
          <w:tab w:val="right" w:pos="9000"/>
        </w:tabs>
        <w:ind w:left="360"/>
      </w:pPr>
    </w:p>
    <w:p w14:paraId="5F3330EF" w14:textId="77777777" w:rsidR="006641F0" w:rsidRDefault="006641F0">
      <w:pPr>
        <w:pStyle w:val="BodyA"/>
        <w:tabs>
          <w:tab w:val="left" w:pos="2160"/>
          <w:tab w:val="right" w:pos="9000"/>
        </w:tabs>
        <w:ind w:left="360"/>
        <w:rPr>
          <w:u w:val="single"/>
        </w:rPr>
      </w:pPr>
    </w:p>
    <w:p w14:paraId="49E91857" w14:textId="77777777" w:rsidR="006641F0" w:rsidRDefault="0023243E">
      <w:pPr>
        <w:pStyle w:val="BodyA"/>
        <w:tabs>
          <w:tab w:val="left" w:pos="2160"/>
          <w:tab w:val="right" w:pos="9000"/>
        </w:tabs>
        <w:ind w:left="360"/>
      </w:pPr>
      <w:r>
        <w:t>by Signature:</w:t>
      </w:r>
      <w:r>
        <w:tab/>
      </w:r>
      <w:r>
        <w:rPr>
          <w:u w:val="single"/>
        </w:rPr>
        <w:tab/>
      </w:r>
    </w:p>
    <w:p w14:paraId="0E57A171" w14:textId="77777777" w:rsidR="006641F0" w:rsidRDefault="006641F0">
      <w:pPr>
        <w:pStyle w:val="BodyA"/>
        <w:tabs>
          <w:tab w:val="left" w:pos="2160"/>
          <w:tab w:val="right" w:pos="9000"/>
        </w:tabs>
        <w:ind w:left="360"/>
      </w:pPr>
    </w:p>
    <w:p w14:paraId="52D92BBD" w14:textId="77777777" w:rsidR="006641F0" w:rsidRDefault="006641F0">
      <w:pPr>
        <w:pStyle w:val="BodyA"/>
        <w:tabs>
          <w:tab w:val="left" w:pos="2160"/>
          <w:tab w:val="right" w:pos="9000"/>
        </w:tabs>
        <w:ind w:left="360"/>
        <w:rPr>
          <w:u w:val="single"/>
        </w:rPr>
      </w:pPr>
    </w:p>
    <w:p w14:paraId="706FDAA2" w14:textId="77777777" w:rsidR="006641F0" w:rsidRDefault="0023243E">
      <w:pPr>
        <w:pStyle w:val="BodyA"/>
        <w:tabs>
          <w:tab w:val="left" w:pos="2160"/>
          <w:tab w:val="right" w:pos="9000"/>
        </w:tabs>
        <w:ind w:left="360"/>
      </w:pPr>
      <w:r>
        <w:t>Printed Name:</w:t>
      </w:r>
      <w:r>
        <w:tab/>
      </w:r>
      <w:r>
        <w:rPr>
          <w:u w:val="single"/>
        </w:rPr>
        <w:tab/>
      </w:r>
    </w:p>
    <w:p w14:paraId="0E23650D" w14:textId="77777777" w:rsidR="006641F0" w:rsidRDefault="006641F0">
      <w:pPr>
        <w:pStyle w:val="BodyA"/>
        <w:tabs>
          <w:tab w:val="left" w:pos="2160"/>
          <w:tab w:val="right" w:pos="9000"/>
        </w:tabs>
        <w:ind w:left="360"/>
      </w:pPr>
    </w:p>
    <w:p w14:paraId="7EE86249" w14:textId="77777777" w:rsidR="006641F0" w:rsidRDefault="006641F0">
      <w:pPr>
        <w:pStyle w:val="BodyA"/>
        <w:tabs>
          <w:tab w:val="left" w:pos="2160"/>
          <w:tab w:val="right" w:pos="9000"/>
        </w:tabs>
        <w:ind w:left="360"/>
        <w:rPr>
          <w:u w:val="single"/>
        </w:rPr>
      </w:pPr>
    </w:p>
    <w:p w14:paraId="340F7E0F" w14:textId="77777777" w:rsidR="006641F0" w:rsidRDefault="0023243E">
      <w:pPr>
        <w:pStyle w:val="BodyA"/>
        <w:tabs>
          <w:tab w:val="left" w:pos="2160"/>
          <w:tab w:val="right" w:pos="9000"/>
        </w:tabs>
        <w:ind w:left="360"/>
      </w:pPr>
      <w:r>
        <w:t>Title:</w:t>
      </w:r>
      <w:r>
        <w:tab/>
      </w:r>
      <w:r>
        <w:rPr>
          <w:u w:val="single"/>
        </w:rPr>
        <w:tab/>
      </w:r>
    </w:p>
    <w:p w14:paraId="5163E2E2" w14:textId="77777777" w:rsidR="006641F0" w:rsidRDefault="006641F0">
      <w:pPr>
        <w:pStyle w:val="BodyA"/>
        <w:tabs>
          <w:tab w:val="left" w:pos="2160"/>
          <w:tab w:val="right" w:pos="9000"/>
        </w:tabs>
        <w:ind w:left="360"/>
      </w:pPr>
    </w:p>
    <w:p w14:paraId="0003E55A" w14:textId="77777777" w:rsidR="006641F0" w:rsidRDefault="006641F0">
      <w:pPr>
        <w:pStyle w:val="BodyA"/>
        <w:tabs>
          <w:tab w:val="left" w:pos="2160"/>
          <w:tab w:val="right" w:pos="9000"/>
        </w:tabs>
        <w:ind w:left="360"/>
        <w:rPr>
          <w:u w:val="single"/>
        </w:rPr>
      </w:pPr>
    </w:p>
    <w:p w14:paraId="30825ABA" w14:textId="77777777" w:rsidR="006641F0" w:rsidRDefault="0023243E">
      <w:pPr>
        <w:pStyle w:val="BodyA"/>
        <w:tabs>
          <w:tab w:val="left" w:pos="2160"/>
          <w:tab w:val="right" w:pos="9000"/>
        </w:tabs>
        <w:ind w:left="360"/>
        <w:rPr>
          <w:u w:val="single"/>
        </w:rPr>
      </w:pPr>
      <w:r>
        <w:t>on Date:</w:t>
      </w:r>
      <w:r>
        <w:tab/>
      </w:r>
      <w:r>
        <w:rPr>
          <w:u w:val="single"/>
        </w:rPr>
        <w:tab/>
      </w:r>
    </w:p>
    <w:p w14:paraId="13DF71C8" w14:textId="77777777" w:rsidR="006641F0" w:rsidRDefault="006641F0">
      <w:pPr>
        <w:pStyle w:val="BodyA"/>
        <w:tabs>
          <w:tab w:val="left" w:pos="2160"/>
          <w:tab w:val="right" w:pos="9000"/>
        </w:tabs>
        <w:ind w:left="360"/>
      </w:pPr>
    </w:p>
    <w:p w14:paraId="7E1CCFA5" w14:textId="77777777" w:rsidR="006641F0" w:rsidRDefault="006641F0">
      <w:pPr>
        <w:pStyle w:val="BodyA"/>
        <w:ind w:left="360"/>
      </w:pPr>
    </w:p>
    <w:p w14:paraId="3256E82A" w14:textId="77777777" w:rsidR="006641F0" w:rsidRDefault="0023243E">
      <w:pPr>
        <w:pStyle w:val="BodyA"/>
        <w:tabs>
          <w:tab w:val="right" w:pos="9340"/>
        </w:tabs>
        <w:rPr>
          <w:u w:val="double"/>
        </w:rPr>
      </w:pPr>
      <w:r>
        <w:rPr>
          <w:u w:val="double"/>
        </w:rPr>
        <w:tab/>
      </w:r>
    </w:p>
    <w:p w14:paraId="4B154ED3" w14:textId="77777777" w:rsidR="006641F0" w:rsidRDefault="006641F0">
      <w:pPr>
        <w:pStyle w:val="BodyA"/>
        <w:tabs>
          <w:tab w:val="right" w:pos="9340"/>
        </w:tabs>
        <w:rPr>
          <w:u w:val="double"/>
        </w:rPr>
      </w:pPr>
    </w:p>
    <w:p w14:paraId="0B7DDE01" w14:textId="77777777" w:rsidR="006641F0" w:rsidRDefault="0023243E">
      <w:pPr>
        <w:pStyle w:val="BodyA"/>
        <w:tabs>
          <w:tab w:val="right" w:pos="9340"/>
        </w:tabs>
      </w:pPr>
      <w:r>
        <w:rPr>
          <w:rFonts w:ascii="Arial Unicode MS" w:hAnsi="Arial Unicode MS"/>
          <w:u w:val="double"/>
        </w:rPr>
        <w:br w:type="page"/>
      </w:r>
    </w:p>
    <w:p w14:paraId="76BA8EAC" w14:textId="77777777" w:rsidR="006641F0" w:rsidRDefault="0023243E">
      <w:pPr>
        <w:pStyle w:val="BodyA"/>
        <w:rPr>
          <w:b/>
          <w:bCs/>
          <w:color w:val="FF2712"/>
          <w:sz w:val="36"/>
          <w:szCs w:val="36"/>
          <w:u w:color="FF2712"/>
        </w:rPr>
      </w:pPr>
      <w:r>
        <w:rPr>
          <w:b/>
          <w:bCs/>
          <w:color w:val="FF2712"/>
          <w:sz w:val="36"/>
          <w:szCs w:val="36"/>
          <w:u w:color="FF2712"/>
        </w:rPr>
        <w:lastRenderedPageBreak/>
        <w:t xml:space="preserve">Other </w:t>
      </w:r>
      <w:r>
        <w:rPr>
          <w:b/>
          <w:bCs/>
          <w:color w:val="FF2712"/>
          <w:sz w:val="36"/>
          <w:szCs w:val="36"/>
          <w:u w:color="FF2712"/>
        </w:rPr>
        <w:t>text (from the Seattle Internet Exchange policy document) that you may wish to consider, and think about whether it has a useful analog in your context:</w:t>
      </w:r>
    </w:p>
    <w:p w14:paraId="6E00532B" w14:textId="77777777" w:rsidR="006641F0" w:rsidRDefault="006641F0">
      <w:pPr>
        <w:pStyle w:val="BodyA"/>
      </w:pPr>
    </w:p>
    <w:p w14:paraId="1D838E09" w14:textId="77777777" w:rsidR="006641F0" w:rsidRDefault="0023243E">
      <w:pPr>
        <w:pStyle w:val="BodyA"/>
      </w:pPr>
      <w:r>
        <w:t>The Board may gather statistics or conduct any other analysis of the Corporation's facilities for plan</w:t>
      </w:r>
      <w:r>
        <w:t xml:space="preserve">ning purposes. </w:t>
      </w:r>
    </w:p>
    <w:p w14:paraId="5AECBB05" w14:textId="77777777" w:rsidR="006641F0" w:rsidRDefault="006641F0">
      <w:pPr>
        <w:pStyle w:val="BodyA"/>
      </w:pPr>
    </w:p>
    <w:p w14:paraId="46CFA128" w14:textId="77777777" w:rsidR="006641F0" w:rsidRDefault="0023243E">
      <w:pPr>
        <w:pStyle w:val="BodyA"/>
      </w:pPr>
      <w:r>
        <w:t>The Board may publish graphs of traffic over the Corporation's facilities, but the graphs  must be an aggregate of a minimum of three networks and not allow for any one member's traffic to be easily discernible. The Board shall keep confid</w:t>
      </w:r>
      <w:r>
        <w:t>ential all per-port (per-member) usage statistics.  </w:t>
      </w:r>
    </w:p>
    <w:p w14:paraId="26665C6A" w14:textId="77777777" w:rsidR="006641F0" w:rsidRDefault="0023243E">
      <w:pPr>
        <w:pStyle w:val="BodyA"/>
      </w:pPr>
      <w:r>
        <w:t>   </w:t>
      </w:r>
    </w:p>
    <w:p w14:paraId="3FF42307" w14:textId="77777777" w:rsidR="006641F0" w:rsidRDefault="0023243E">
      <w:pPr>
        <w:pStyle w:val="BodyA"/>
      </w:pPr>
      <w:r>
        <w:t xml:space="preserve">Members may gather statistics from their router's </w:t>
      </w:r>
      <w:proofErr w:type="gramStart"/>
      <w:r>
        <w:t>interface, but</w:t>
      </w:r>
      <w:proofErr w:type="gramEnd"/>
      <w:r>
        <w:t xml:space="preserve"> will not have access to the Corporation's switch or interfaces. </w:t>
      </w:r>
    </w:p>
    <w:p w14:paraId="13F09930" w14:textId="77777777" w:rsidR="006641F0" w:rsidRDefault="006641F0">
      <w:pPr>
        <w:pStyle w:val="BodyA"/>
      </w:pPr>
    </w:p>
    <w:p w14:paraId="10319185" w14:textId="77777777" w:rsidR="006641F0" w:rsidRDefault="0023243E">
      <w:pPr>
        <w:pStyle w:val="BodyA"/>
      </w:pPr>
      <w:r>
        <w:t xml:space="preserve">The Board may conduct packet sniffing or monitoring activities only </w:t>
      </w:r>
      <w:r>
        <w:t xml:space="preserve">for maintenance or security matters, or in response to and as required by a lawful order that comes from a court with jurisdiction over the Corporation. </w:t>
      </w:r>
    </w:p>
    <w:p w14:paraId="58A84EF1" w14:textId="77777777" w:rsidR="006641F0" w:rsidRDefault="006641F0">
      <w:pPr>
        <w:pStyle w:val="BodyA"/>
      </w:pPr>
    </w:p>
    <w:p w14:paraId="4BE95329" w14:textId="77777777" w:rsidR="006641F0" w:rsidRDefault="0023243E">
      <w:pPr>
        <w:pStyle w:val="BodyA"/>
      </w:pPr>
      <w:r>
        <w:t>If the Corporation is compelled by law to disclose any information of a Member, the Corporation shall</w:t>
      </w:r>
      <w:r>
        <w:t xml:space="preserve"> provide the Member with prior notice of such compelled disclosure (to the extent legally permitted) and provide reasonable assistance, at the Member's cost, if the Member wishes the Corporation to contest the disclosure.</w:t>
      </w:r>
    </w:p>
    <w:p w14:paraId="51281D0B" w14:textId="77777777" w:rsidR="006641F0" w:rsidRDefault="006641F0">
      <w:pPr>
        <w:pStyle w:val="BodyA"/>
      </w:pPr>
    </w:p>
    <w:sectPr w:rsidR="006641F0">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67081" w14:textId="77777777" w:rsidR="0023243E" w:rsidRDefault="0023243E">
      <w:r>
        <w:separator/>
      </w:r>
    </w:p>
  </w:endnote>
  <w:endnote w:type="continuationSeparator" w:id="0">
    <w:p w14:paraId="4546F59B" w14:textId="77777777" w:rsidR="0023243E" w:rsidRDefault="0023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6DDE" w14:textId="77777777" w:rsidR="006641F0" w:rsidRDefault="006641F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E6DE" w14:textId="77777777" w:rsidR="006641F0" w:rsidRDefault="006641F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6890" w14:textId="77777777" w:rsidR="0023243E" w:rsidRDefault="0023243E">
      <w:r>
        <w:separator/>
      </w:r>
    </w:p>
  </w:footnote>
  <w:footnote w:type="continuationSeparator" w:id="0">
    <w:p w14:paraId="125F3D71" w14:textId="77777777" w:rsidR="0023243E" w:rsidRDefault="0023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BA54" w14:textId="77777777" w:rsidR="006641F0" w:rsidRDefault="006641F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A2B8" w14:textId="77777777" w:rsidR="006641F0" w:rsidRDefault="006641F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F0"/>
    <w:rsid w:val="0023243E"/>
    <w:rsid w:val="006641F0"/>
    <w:rsid w:val="00712C7E"/>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6C00"/>
  <w15:docId w15:val="{7D89B396-1180-45EA-9B12-D3C20D17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MU" w:eastAsia="en-M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BodyA"/>
    <w:uiPriority w:val="9"/>
    <w:qFormat/>
    <w:pPr>
      <w:keepNext/>
      <w:spacing w:after="160"/>
      <w:outlineLvl w:val="0"/>
    </w:pPr>
    <w:rPr>
      <w:rFonts w:ascii="Helvetica Neue" w:hAnsi="Helvetica Neue" w:cs="Arial Unicode MS"/>
      <w:b/>
      <w:bCs/>
      <w:color w:val="000000"/>
      <w:sz w:val="36"/>
      <w:szCs w:val="36"/>
      <w:u w:color="000000"/>
      <w:lang w:val="en-US"/>
    </w:rPr>
  </w:style>
  <w:style w:type="paragraph" w:styleId="Heading2">
    <w:name w:val="heading 2"/>
    <w:next w:val="BodyA"/>
    <w:uiPriority w:val="9"/>
    <w:unhideWhenUsed/>
    <w:qFormat/>
    <w:pPr>
      <w:keepNext/>
      <w:spacing w:after="160"/>
      <w:outlineLvl w:val="1"/>
    </w:pPr>
    <w:rPr>
      <w:rFonts w:ascii="Helvetica Neue" w:hAnsi="Helvetica Neue"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Title1">
    <w:name w:val="Title1"/>
    <w:next w:val="BodyA"/>
    <w:pPr>
      <w:keepNext/>
      <w:outlineLvl w:val="0"/>
    </w:pPr>
    <w:rPr>
      <w:rFonts w:ascii="Helvetica Neue" w:hAnsi="Helvetica Neue" w:cs="Arial Unicode MS"/>
      <w:b/>
      <w:bCs/>
      <w:color w:val="000000"/>
      <w:sz w:val="48"/>
      <w:szCs w:val="48"/>
      <w:u w:color="000000"/>
      <w:lang w:val="en-US"/>
    </w:rPr>
  </w:style>
  <w:style w:type="paragraph" w:customStyle="1" w:styleId="BodyA">
    <w:name w:val="Body A"/>
    <w:rPr>
      <w:rFonts w:ascii="Helvetica Neue" w:hAnsi="Helvetica Neue"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3231</Words>
  <Characters>18419</Characters>
  <Application>Microsoft Office Word</Application>
  <DocSecurity>0</DocSecurity>
  <Lines>153</Lines>
  <Paragraphs>43</Paragraphs>
  <ScaleCrop>false</ScaleCrop>
  <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Keessun Fokeerah</dc:creator>
  <cp:lastModifiedBy>Keessun Fokeerah</cp:lastModifiedBy>
  <cp:revision>2</cp:revision>
  <dcterms:created xsi:type="dcterms:W3CDTF">2019-08-13T15:50:00Z</dcterms:created>
  <dcterms:modified xsi:type="dcterms:W3CDTF">2019-08-13T15:50:00Z</dcterms:modified>
</cp:coreProperties>
</file>